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hAnsi="黑体" w:eastAsia="方正小标宋简体"/>
          <w:sz w:val="44"/>
          <w:szCs w:val="44"/>
        </w:rPr>
      </w:pPr>
      <w:bookmarkStart w:id="8" w:name="_GoBack"/>
      <w:bookmarkEnd w:id="8"/>
      <w:r>
        <w:rPr>
          <w:rFonts w:hint="eastAsia" w:ascii="方正小标宋简体" w:hAnsi="黑体" w:eastAsia="方正小标宋简体"/>
          <w:sz w:val="44"/>
          <w:szCs w:val="44"/>
        </w:rPr>
        <w:t>龙港市</w:t>
      </w:r>
      <w:bookmarkStart w:id="0" w:name="_Hlk81589897"/>
      <w:r>
        <w:rPr>
          <w:rFonts w:hint="eastAsia" w:ascii="方正小标宋简体" w:hAnsi="黑体" w:eastAsia="方正小标宋简体"/>
          <w:sz w:val="44"/>
          <w:szCs w:val="44"/>
        </w:rPr>
        <w:t>2021年能源“双控”攻坚行动</w:t>
      </w:r>
      <w:bookmarkEnd w:id="0"/>
      <w:r>
        <w:rPr>
          <w:rFonts w:hint="eastAsia" w:ascii="方正小标宋简体" w:hAnsi="黑体" w:eastAsia="方正小标宋简体"/>
          <w:sz w:val="44"/>
          <w:szCs w:val="44"/>
        </w:rPr>
        <w:t>实施方案</w:t>
      </w:r>
    </w:p>
    <w:p>
      <w:pPr>
        <w:spacing w:line="600" w:lineRule="exact"/>
        <w:ind w:firstLine="632" w:firstLineChars="200"/>
        <w:jc w:val="center"/>
        <w:rPr>
          <w:rFonts w:hint="eastAsia" w:ascii="黑体" w:hAnsi="黑体" w:eastAsia="黑体"/>
          <w:sz w:val="32"/>
          <w:szCs w:val="32"/>
          <w:lang w:eastAsia="zh-CN"/>
        </w:rPr>
      </w:pPr>
      <w:r>
        <w:rPr>
          <w:rFonts w:hint="eastAsia" w:ascii="黑体" w:hAnsi="黑体" w:eastAsia="黑体"/>
          <w:sz w:val="32"/>
          <w:szCs w:val="32"/>
          <w:lang w:eastAsia="zh-CN"/>
        </w:rPr>
        <w:t>（征求意见稿）</w:t>
      </w:r>
    </w:p>
    <w:p>
      <w:pPr>
        <w:spacing w:line="600" w:lineRule="exact"/>
        <w:ind w:firstLine="632" w:firstLineChars="200"/>
        <w:rPr>
          <w:rFonts w:ascii="仿宋_GB2312" w:hAnsi="黑体" w:eastAsia="仿宋_GB2312"/>
          <w:sz w:val="32"/>
          <w:szCs w:val="32"/>
        </w:rPr>
      </w:pPr>
      <w:r>
        <w:rPr>
          <w:rFonts w:hint="eastAsia" w:ascii="仿宋_GB2312" w:hAnsi="黑体" w:eastAsia="仿宋_GB2312"/>
          <w:sz w:val="32"/>
          <w:szCs w:val="32"/>
        </w:rPr>
        <w:t>为认真贯彻落实国家、浙江省和温州市有关能源“双控”工作精神和部署，确保完成龙港市2</w:t>
      </w:r>
      <w:r>
        <w:rPr>
          <w:rFonts w:ascii="仿宋_GB2312" w:hAnsi="黑体" w:eastAsia="仿宋_GB2312"/>
          <w:sz w:val="32"/>
          <w:szCs w:val="32"/>
        </w:rPr>
        <w:t>021</w:t>
      </w:r>
      <w:r>
        <w:rPr>
          <w:rFonts w:hint="eastAsia" w:ascii="仿宋_GB2312" w:hAnsi="黑体" w:eastAsia="仿宋_GB2312"/>
          <w:sz w:val="32"/>
          <w:szCs w:val="32"/>
        </w:rPr>
        <w:t>年单位GDP能耗下降率和能源消费总量增长控制目标任务，市政府决定于9月起至12月底，组织开展2021年能源“双控”攻坚行动。有关工作方案如下：</w:t>
      </w:r>
    </w:p>
    <w:p>
      <w:pPr>
        <w:spacing w:line="600" w:lineRule="exact"/>
        <w:ind w:firstLine="632" w:firstLineChars="200"/>
        <w:rPr>
          <w:rFonts w:ascii="黑体" w:hAnsi="黑体" w:eastAsia="黑体"/>
          <w:sz w:val="32"/>
          <w:szCs w:val="32"/>
        </w:rPr>
      </w:pPr>
      <w:r>
        <w:rPr>
          <w:rFonts w:hint="eastAsia" w:ascii="黑体" w:hAnsi="黑体" w:eastAsia="黑体"/>
          <w:sz w:val="32"/>
          <w:szCs w:val="32"/>
        </w:rPr>
        <w:t>一、攻坚目标</w:t>
      </w:r>
    </w:p>
    <w:p>
      <w:pPr>
        <w:spacing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（1）三季度单位G</w:t>
      </w:r>
      <w:r>
        <w:rPr>
          <w:rFonts w:ascii="仿宋_GB2312" w:hAnsi="Times New Roman" w:eastAsia="仿宋_GB2312"/>
          <w:sz w:val="32"/>
          <w:szCs w:val="32"/>
        </w:rPr>
        <w:t>DP</w:t>
      </w:r>
      <w:r>
        <w:rPr>
          <w:rFonts w:hint="eastAsia" w:ascii="仿宋_GB2312" w:hAnsi="Times New Roman" w:eastAsia="仿宋_GB2312"/>
          <w:sz w:val="32"/>
          <w:szCs w:val="32"/>
        </w:rPr>
        <w:t>能耗同比不增长，年度单位G</w:t>
      </w:r>
      <w:r>
        <w:rPr>
          <w:rFonts w:ascii="仿宋_GB2312" w:hAnsi="Times New Roman" w:eastAsia="仿宋_GB2312"/>
          <w:sz w:val="32"/>
          <w:szCs w:val="32"/>
        </w:rPr>
        <w:t>DP</w:t>
      </w:r>
      <w:r>
        <w:rPr>
          <w:rFonts w:hint="eastAsia" w:ascii="仿宋_GB2312" w:hAnsi="Times New Roman" w:eastAsia="仿宋_GB2312"/>
          <w:sz w:val="32"/>
          <w:szCs w:val="32"/>
        </w:rPr>
        <w:t>能耗下降率达到3</w:t>
      </w:r>
      <w:r>
        <w:rPr>
          <w:rFonts w:ascii="仿宋_GB2312" w:hAnsi="Times New Roman" w:eastAsia="仿宋_GB2312"/>
          <w:sz w:val="32"/>
          <w:szCs w:val="32"/>
        </w:rPr>
        <w:t>.1</w:t>
      </w:r>
      <w:r>
        <w:rPr>
          <w:rFonts w:hint="eastAsia" w:ascii="仿宋_GB2312" w:hAnsi="Times New Roman" w:eastAsia="仿宋_GB2312"/>
          <w:sz w:val="32"/>
          <w:szCs w:val="32"/>
        </w:rPr>
        <w:t>%以上。</w:t>
      </w:r>
    </w:p>
    <w:p>
      <w:pPr>
        <w:spacing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2</w:t>
      </w:r>
      <w:r>
        <w:rPr>
          <w:rFonts w:hint="eastAsia" w:ascii="仿宋_GB2312" w:hAnsi="Times New Roman" w:eastAsia="仿宋_GB2312"/>
          <w:sz w:val="32"/>
          <w:szCs w:val="32"/>
        </w:rPr>
        <w:t>）</w:t>
      </w:r>
      <w:r>
        <w:rPr>
          <w:rFonts w:ascii="仿宋_GB2312" w:hAnsi="Times New Roman" w:eastAsia="仿宋_GB2312"/>
          <w:sz w:val="32"/>
          <w:szCs w:val="32"/>
        </w:rPr>
        <w:t>9-12</w:t>
      </w:r>
      <w:r>
        <w:rPr>
          <w:rFonts w:hint="eastAsia" w:ascii="仿宋_GB2312" w:hAnsi="Times New Roman" w:eastAsia="仿宋_GB2312"/>
          <w:sz w:val="32"/>
          <w:szCs w:val="32"/>
        </w:rPr>
        <w:t>月当月规上工业能耗分别控制在1</w:t>
      </w:r>
      <w:r>
        <w:rPr>
          <w:rFonts w:ascii="仿宋_GB2312" w:hAnsi="Times New Roman" w:eastAsia="仿宋_GB2312"/>
          <w:sz w:val="32"/>
          <w:szCs w:val="32"/>
        </w:rPr>
        <w:t>.78</w:t>
      </w:r>
      <w:r>
        <w:rPr>
          <w:rFonts w:hint="eastAsia" w:ascii="仿宋_GB2312" w:hAnsi="Times New Roman" w:eastAsia="仿宋_GB2312"/>
          <w:sz w:val="32"/>
          <w:szCs w:val="32"/>
        </w:rPr>
        <w:t>万吨标准煤、</w:t>
      </w:r>
      <w:r>
        <w:rPr>
          <w:rFonts w:ascii="仿宋_GB2312" w:hAnsi="Times New Roman" w:eastAsia="仿宋_GB2312"/>
          <w:sz w:val="32"/>
          <w:szCs w:val="32"/>
        </w:rPr>
        <w:t>3.66</w:t>
      </w:r>
      <w:r>
        <w:rPr>
          <w:rFonts w:hint="eastAsia" w:ascii="仿宋_GB2312" w:hAnsi="Times New Roman" w:eastAsia="仿宋_GB2312"/>
          <w:sz w:val="32"/>
          <w:szCs w:val="32"/>
        </w:rPr>
        <w:t>万吨标准煤、6</w:t>
      </w:r>
      <w:r>
        <w:rPr>
          <w:rFonts w:ascii="仿宋_GB2312" w:hAnsi="Times New Roman" w:eastAsia="仿宋_GB2312"/>
          <w:sz w:val="32"/>
          <w:szCs w:val="32"/>
        </w:rPr>
        <w:t>.06</w:t>
      </w:r>
      <w:r>
        <w:rPr>
          <w:rFonts w:hint="eastAsia" w:ascii="仿宋_GB2312" w:hAnsi="Times New Roman" w:eastAsia="仿宋_GB2312"/>
          <w:sz w:val="32"/>
          <w:szCs w:val="32"/>
        </w:rPr>
        <w:t>万吨标准煤、7</w:t>
      </w:r>
      <w:r>
        <w:rPr>
          <w:rFonts w:ascii="仿宋_GB2312" w:hAnsi="Times New Roman" w:eastAsia="仿宋_GB2312"/>
          <w:sz w:val="32"/>
          <w:szCs w:val="32"/>
        </w:rPr>
        <w:t>.23</w:t>
      </w:r>
      <w:r>
        <w:rPr>
          <w:rFonts w:hint="eastAsia" w:ascii="仿宋_GB2312" w:hAnsi="Times New Roman" w:eastAsia="仿宋_GB2312"/>
          <w:sz w:val="32"/>
          <w:szCs w:val="32"/>
        </w:rPr>
        <w:t>万吨标准煤以内，全年规上工业能耗不超过6</w:t>
      </w:r>
      <w:r>
        <w:rPr>
          <w:rFonts w:ascii="仿宋_GB2312" w:hAnsi="Times New Roman" w:eastAsia="仿宋_GB2312"/>
          <w:sz w:val="32"/>
          <w:szCs w:val="32"/>
        </w:rPr>
        <w:t>3.73</w:t>
      </w:r>
      <w:r>
        <w:rPr>
          <w:rFonts w:hint="eastAsia" w:ascii="仿宋_GB2312" w:hAnsi="Times New Roman" w:eastAsia="仿宋_GB2312"/>
          <w:sz w:val="32"/>
          <w:szCs w:val="32"/>
        </w:rPr>
        <w:t>万吨标准煤。</w:t>
      </w:r>
    </w:p>
    <w:p>
      <w:pPr>
        <w:pStyle w:val="2"/>
        <w:ind w:firstLine="63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3</w:t>
      </w:r>
      <w:r>
        <w:rPr>
          <w:rFonts w:hint="eastAsia" w:ascii="仿宋_GB2312" w:hAnsi="Times New Roman" w:eastAsia="仿宋_GB2312"/>
          <w:sz w:val="32"/>
          <w:szCs w:val="32"/>
        </w:rPr>
        <w:t>）三季度用煤量（不含华润电厂发电用煤，下同）控制在3</w:t>
      </w:r>
      <w:r>
        <w:rPr>
          <w:rFonts w:ascii="仿宋_GB2312" w:hAnsi="Times New Roman" w:eastAsia="仿宋_GB2312"/>
          <w:sz w:val="32"/>
          <w:szCs w:val="32"/>
        </w:rPr>
        <w:t>.8</w:t>
      </w:r>
      <w:r>
        <w:rPr>
          <w:rFonts w:hint="eastAsia" w:ascii="仿宋_GB2312" w:hAnsi="Times New Roman" w:eastAsia="仿宋_GB2312"/>
          <w:sz w:val="32"/>
          <w:szCs w:val="32"/>
        </w:rPr>
        <w:t>万吨以内，全年用煤量不超过</w:t>
      </w:r>
      <w:r>
        <w:rPr>
          <w:rFonts w:ascii="仿宋_GB2312" w:hAnsi="Times New Roman" w:eastAsia="仿宋_GB2312"/>
          <w:sz w:val="32"/>
          <w:szCs w:val="32"/>
        </w:rPr>
        <w:t>5</w:t>
      </w:r>
      <w:r>
        <w:rPr>
          <w:rFonts w:hint="eastAsia" w:ascii="仿宋_GB2312" w:hAnsi="Times New Roman" w:eastAsia="仿宋_GB2312"/>
          <w:sz w:val="32"/>
          <w:szCs w:val="32"/>
        </w:rPr>
        <w:t>万吨。</w:t>
      </w:r>
    </w:p>
    <w:p>
      <w:pPr>
        <w:pStyle w:val="2"/>
        <w:ind w:firstLine="630"/>
      </w:pPr>
      <w:r>
        <w:rPr>
          <w:rFonts w:hint="eastAsia" w:ascii="仿宋_GB2312" w:hAnsi="Times New Roman" w:eastAsia="仿宋_GB2312"/>
          <w:sz w:val="32"/>
          <w:szCs w:val="32"/>
        </w:rPr>
        <w:t>（4）</w:t>
      </w:r>
      <w:r>
        <w:rPr>
          <w:rFonts w:ascii="仿宋_GB2312" w:hAnsi="Times New Roman" w:eastAsia="仿宋_GB2312"/>
          <w:sz w:val="32"/>
          <w:szCs w:val="32"/>
        </w:rPr>
        <w:t>9-12</w:t>
      </w:r>
      <w:r>
        <w:rPr>
          <w:rFonts w:hint="eastAsia" w:ascii="仿宋_GB2312" w:hAnsi="Times New Roman" w:eastAsia="仿宋_GB2312"/>
          <w:sz w:val="32"/>
          <w:szCs w:val="32"/>
        </w:rPr>
        <w:t>月当月全社会用电量分别控制在</w:t>
      </w:r>
      <w:r>
        <w:rPr>
          <w:rFonts w:ascii="仿宋_GB2312" w:hAnsi="Times New Roman" w:eastAsia="仿宋_GB2312"/>
          <w:sz w:val="32"/>
          <w:szCs w:val="32"/>
        </w:rPr>
        <w:t>2.29</w:t>
      </w:r>
      <w:r>
        <w:rPr>
          <w:rFonts w:hint="eastAsia" w:ascii="仿宋_GB2312" w:hAnsi="Times New Roman" w:eastAsia="仿宋_GB2312"/>
          <w:sz w:val="32"/>
          <w:szCs w:val="32"/>
        </w:rPr>
        <w:t>亿千瓦时、</w:t>
      </w:r>
      <w:r>
        <w:rPr>
          <w:rFonts w:ascii="仿宋_GB2312" w:hAnsi="Times New Roman" w:eastAsia="仿宋_GB2312"/>
          <w:sz w:val="32"/>
          <w:szCs w:val="32"/>
        </w:rPr>
        <w:t>2.16</w:t>
      </w:r>
      <w:r>
        <w:rPr>
          <w:rFonts w:hint="eastAsia" w:ascii="仿宋_GB2312" w:hAnsi="Times New Roman" w:eastAsia="仿宋_GB2312"/>
          <w:sz w:val="32"/>
          <w:szCs w:val="32"/>
        </w:rPr>
        <w:t>亿千瓦时、</w:t>
      </w:r>
      <w:r>
        <w:rPr>
          <w:rFonts w:ascii="仿宋_GB2312" w:hAnsi="Times New Roman" w:eastAsia="仿宋_GB2312"/>
          <w:sz w:val="32"/>
          <w:szCs w:val="32"/>
        </w:rPr>
        <w:t>2.19</w:t>
      </w:r>
      <w:r>
        <w:rPr>
          <w:rFonts w:hint="eastAsia" w:ascii="仿宋_GB2312" w:hAnsi="Times New Roman" w:eastAsia="仿宋_GB2312"/>
          <w:sz w:val="32"/>
          <w:szCs w:val="32"/>
        </w:rPr>
        <w:t>亿千瓦时、</w:t>
      </w:r>
      <w:r>
        <w:rPr>
          <w:rFonts w:ascii="仿宋_GB2312" w:hAnsi="Times New Roman" w:eastAsia="仿宋_GB2312"/>
          <w:sz w:val="32"/>
          <w:szCs w:val="32"/>
        </w:rPr>
        <w:t>2.40</w:t>
      </w:r>
      <w:r>
        <w:rPr>
          <w:rFonts w:hint="eastAsia" w:ascii="仿宋_GB2312" w:hAnsi="Times New Roman" w:eastAsia="仿宋_GB2312"/>
          <w:sz w:val="32"/>
          <w:szCs w:val="32"/>
        </w:rPr>
        <w:t>亿千瓦时以内，全年全社会用电量不超过</w:t>
      </w:r>
      <w:r>
        <w:rPr>
          <w:rFonts w:ascii="仿宋_GB2312" w:hAnsi="Times New Roman" w:eastAsia="仿宋_GB2312"/>
          <w:sz w:val="32"/>
          <w:szCs w:val="32"/>
        </w:rPr>
        <w:t>29.18</w:t>
      </w:r>
      <w:r>
        <w:rPr>
          <w:rFonts w:hint="eastAsia" w:ascii="仿宋_GB2312" w:hAnsi="Times New Roman" w:eastAsia="仿宋_GB2312"/>
          <w:sz w:val="32"/>
          <w:szCs w:val="32"/>
        </w:rPr>
        <w:t>亿千瓦时。</w:t>
      </w:r>
    </w:p>
    <w:p>
      <w:pPr>
        <w:spacing w:line="600" w:lineRule="exact"/>
        <w:ind w:firstLine="632" w:firstLineChars="200"/>
        <w:rPr>
          <w:rFonts w:ascii="黑体" w:hAnsi="黑体" w:eastAsia="黑体"/>
          <w:sz w:val="32"/>
          <w:szCs w:val="32"/>
        </w:rPr>
      </w:pPr>
      <w:r>
        <w:rPr>
          <w:rFonts w:hint="eastAsia" w:ascii="黑体" w:hAnsi="黑体" w:eastAsia="黑体"/>
          <w:sz w:val="32"/>
          <w:szCs w:val="32"/>
        </w:rPr>
        <w:t>二、推进措施</w:t>
      </w:r>
    </w:p>
    <w:p>
      <w:pPr>
        <w:spacing w:line="540" w:lineRule="exact"/>
        <w:ind w:firstLine="632" w:firstLineChars="200"/>
        <w:rPr>
          <w:rFonts w:ascii="仿宋_GB2312" w:hAnsi="仿宋_GB2312" w:eastAsia="仿宋_GB2312" w:cs="仿宋_GB2312"/>
          <w:b/>
          <w:bCs/>
          <w:sz w:val="32"/>
          <w:szCs w:val="32"/>
        </w:rPr>
      </w:pPr>
      <w:bookmarkStart w:id="1" w:name="_Hlk81764226"/>
      <w:r>
        <w:rPr>
          <w:rFonts w:hint="eastAsia" w:ascii="楷体_GB2312" w:hAnsi="楷体_GB2312" w:eastAsia="楷体_GB2312" w:cs="楷体_GB2312"/>
          <w:b/>
          <w:bCs/>
          <w:sz w:val="32"/>
          <w:szCs w:val="32"/>
        </w:rPr>
        <w:t>（一）实施工业节能行动</w:t>
      </w:r>
    </w:p>
    <w:p>
      <w:pPr>
        <w:spacing w:line="54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（1）实施有序用电方案。</w:t>
      </w:r>
      <w:r>
        <w:rPr>
          <w:rFonts w:hint="eastAsia" w:ascii="仿宋_GB2312" w:hAnsi="仿宋_GB2312" w:eastAsia="仿宋_GB2312" w:cs="仿宋_GB2312"/>
          <w:sz w:val="32"/>
          <w:szCs w:val="32"/>
        </w:rPr>
        <w:t>按照月度用电量控制目标，以高耗能、高耗低效、亩均评价D类等高能耗低附加值的企业和项目能耗未批先建等企业为重点，梳理错避峰生产企业名单，科学、合理编制差异化错峰生产计划，并严格做好执行落实。按照每月用电实际增速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%测算，月度压减用电</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万千瓦时以上。</w:t>
      </w:r>
      <w:r>
        <w:rPr>
          <w:rFonts w:hint="eastAsia" w:ascii="楷体_GB2312" w:hAnsi="楷体" w:eastAsia="楷体_GB2312" w:cs="仿宋_GB2312"/>
          <w:sz w:val="32"/>
          <w:szCs w:val="32"/>
        </w:rPr>
        <w:t>（牵头单位：市经济发展局；配合单位：市供电公司）</w:t>
      </w:r>
    </w:p>
    <w:p>
      <w:pPr>
        <w:spacing w:line="540" w:lineRule="exact"/>
        <w:ind w:firstLine="632" w:firstLineChars="200"/>
        <w:rPr>
          <w:rFonts w:ascii="楷体_GB2312" w:hAnsi="楷体" w:eastAsia="楷体_GB2312" w:cs="仿宋_GB2312"/>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）建立能耗准入机制。</w:t>
      </w:r>
      <w:r>
        <w:rPr>
          <w:rFonts w:hint="eastAsia" w:ascii="仿宋_GB2312" w:hAnsi="仿宋_GB2312" w:eastAsia="仿宋_GB2312" w:cs="仿宋_GB2312"/>
          <w:sz w:val="32"/>
          <w:szCs w:val="32"/>
        </w:rPr>
        <w:t>谋划产业引进项目时，坚持能耗“双控”约束在前，坚决遏制“两高”项目的盲目发展和低水平重复建设，从严控制存量“两高”企业新增产能。项目招引时单位工业增加值能耗原则上控制在0</w:t>
      </w:r>
      <w:r>
        <w:rPr>
          <w:rFonts w:ascii="仿宋_GB2312" w:hAnsi="仿宋_GB2312" w:eastAsia="仿宋_GB2312" w:cs="仿宋_GB2312"/>
          <w:sz w:val="32"/>
          <w:szCs w:val="32"/>
        </w:rPr>
        <w:t>.49</w:t>
      </w:r>
      <w:r>
        <w:rPr>
          <w:rFonts w:hint="eastAsia" w:ascii="仿宋_GB2312" w:hAnsi="仿宋_GB2312" w:eastAsia="仿宋_GB2312" w:cs="仿宋_GB2312"/>
          <w:sz w:val="32"/>
          <w:szCs w:val="32"/>
        </w:rPr>
        <w:t>吨标准煤/万元，办理项目施工许可证前必须已通过项目节能审查意见审批。</w:t>
      </w:r>
      <w:bookmarkStart w:id="2" w:name="_Hlk81823588"/>
      <w:r>
        <w:rPr>
          <w:rFonts w:hint="eastAsia" w:ascii="仿宋_GB2312" w:hAnsi="仿宋_GB2312" w:eastAsia="仿宋_GB2312" w:cs="仿宋_GB2312"/>
          <w:sz w:val="32"/>
          <w:szCs w:val="32"/>
        </w:rPr>
        <w:t>实行负面清单管理，</w:t>
      </w:r>
      <w:bookmarkStart w:id="3" w:name="_Hlk81823807"/>
      <w:r>
        <w:rPr>
          <w:rFonts w:hint="eastAsia" w:ascii="仿宋_GB2312" w:hAnsi="仿宋_GB2312" w:eastAsia="仿宋_GB2312" w:cs="仿宋_GB2312"/>
          <w:sz w:val="32"/>
          <w:szCs w:val="32"/>
        </w:rPr>
        <w:t>负面清单外工业项目专变报装或增容时必须征询市经济发展局意见，负面清单内工业项目必须先取得节能审查意见或相关审批意见。</w:t>
      </w:r>
      <w:bookmarkEnd w:id="2"/>
      <w:bookmarkEnd w:id="3"/>
      <w:r>
        <w:rPr>
          <w:rFonts w:hint="eastAsia" w:ascii="楷体_GB2312" w:hAnsi="楷体" w:eastAsia="楷体_GB2312" w:cs="仿宋_GB2312"/>
          <w:sz w:val="32"/>
          <w:szCs w:val="32"/>
        </w:rPr>
        <w:t>（牵头单位：市经济发展局；配合单位：市投促中心、市审批中心、市供电公司）</w:t>
      </w:r>
    </w:p>
    <w:p>
      <w:pPr>
        <w:spacing w:line="540" w:lineRule="exact"/>
        <w:ind w:firstLine="632" w:firstLineChars="200"/>
        <w:rPr>
          <w:rFonts w:ascii="楷体_GB2312" w:hAnsi="楷体" w:eastAsia="楷体_GB2312" w:cs="仿宋_GB2312"/>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）开展重点单位监管。</w:t>
      </w:r>
      <w:r>
        <w:rPr>
          <w:rFonts w:hint="eastAsia" w:ascii="仿宋_GB2312" w:hAnsi="仿宋_GB2312" w:eastAsia="仿宋_GB2312" w:cs="仿宋_GB2312"/>
          <w:sz w:val="32"/>
          <w:szCs w:val="32"/>
        </w:rPr>
        <w:t>以用能量千吨标煤以上的重点用能企业和用电量1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万千瓦时以上的非工业重点用能单位为重点，实施能耗预算化管理，下达年度产值能耗下降目标和能源消费总量用能控制目标，并严格落实，争取重点用能企业单位产值能耗下降3%以上。</w:t>
      </w:r>
      <w:r>
        <w:rPr>
          <w:rFonts w:hint="eastAsia" w:ascii="楷体_GB2312" w:hAnsi="楷体" w:eastAsia="楷体_GB2312" w:cs="仿宋_GB2312"/>
          <w:sz w:val="32"/>
          <w:szCs w:val="32"/>
        </w:rPr>
        <w:t>（牵头单位：市经济发展局）</w:t>
      </w:r>
    </w:p>
    <w:p>
      <w:pPr>
        <w:spacing w:line="540" w:lineRule="exact"/>
        <w:ind w:firstLine="632" w:firstLineChars="200"/>
        <w:rPr>
          <w:rFonts w:ascii="楷体_GB2312" w:hAnsi="楷体" w:eastAsia="楷体_GB2312" w:cs="仿宋_GB2312"/>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）加强煤炭使用管理。</w:t>
      </w:r>
      <w:r>
        <w:rPr>
          <w:rFonts w:hint="eastAsia" w:ascii="仿宋_GB2312" w:hAnsi="仿宋_GB2312" w:eastAsia="仿宋_GB2312" w:cs="仿宋_GB2312"/>
          <w:sz w:val="32"/>
          <w:szCs w:val="32"/>
        </w:rPr>
        <w:t>加强规上用煤企业预算化管理，对用煤企业下达月度用煤控制目标。定期收集统计用煤数据，做好分析和预警，确保完成全年煤炭使用控制在5万吨以内。</w:t>
      </w:r>
      <w:r>
        <w:rPr>
          <w:rFonts w:hint="eastAsia" w:ascii="楷体_GB2312" w:hAnsi="楷体" w:eastAsia="楷体_GB2312" w:cs="仿宋_GB2312"/>
          <w:sz w:val="32"/>
          <w:szCs w:val="32"/>
        </w:rPr>
        <w:t>（牵头单位：市经济发展局）</w:t>
      </w:r>
    </w:p>
    <w:p>
      <w:pPr>
        <w:pStyle w:val="2"/>
        <w:ind w:firstLine="633"/>
        <w:rPr>
          <w:rFonts w:ascii="楷体_GB2312" w:hAnsi="楷体" w:eastAsia="楷体_GB2312" w:cs="仿宋_GB2312"/>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）开展专项整治清理。</w:t>
      </w:r>
      <w:r>
        <w:rPr>
          <w:rFonts w:hint="eastAsia" w:ascii="仿宋_GB2312" w:hAnsi="仿宋_GB2312" w:eastAsia="仿宋_GB2312" w:cs="仿宋_GB2312"/>
          <w:sz w:val="32"/>
          <w:szCs w:val="32"/>
        </w:rPr>
        <w:t>加强部门联动和多方协作，以厂中厂混租、“两高”园区为重点，加快用电前500名企业、高耗能行业和园区清单、各行业单位电产比清单、气流纺、塑编等行业企业违章违建和存在安全隐患的家庭作坊的排查和名单梳理，并制订整治方案，通过关停和拆除一批减少不符合要求的企业（家庭作坊），腾出用能空间。实施电雕电镀园区、化工园区、印染园区等小微园区专项整治，控制和压减规模，鼓励转型转产。开展居民用电工业化整治行动，降低居民用电增速。力争全年腾出用能空间</w:t>
      </w:r>
      <w:r>
        <w:rPr>
          <w:rFonts w:ascii="仿宋_GB2312" w:hAnsi="仿宋_GB2312" w:eastAsia="仿宋_GB2312" w:cs="仿宋_GB2312"/>
          <w:sz w:val="32"/>
          <w:szCs w:val="32"/>
        </w:rPr>
        <w:t>20000</w:t>
      </w:r>
      <w:r>
        <w:rPr>
          <w:rFonts w:hint="eastAsia" w:ascii="仿宋_GB2312" w:hAnsi="仿宋_GB2312" w:eastAsia="仿宋_GB2312" w:cs="仿宋_GB2312"/>
          <w:sz w:val="32"/>
          <w:szCs w:val="32"/>
        </w:rPr>
        <w:t>吨标准煤以上。</w:t>
      </w:r>
      <w:r>
        <w:rPr>
          <w:rFonts w:hint="eastAsia" w:ascii="楷体_GB2312" w:hAnsi="楷体" w:eastAsia="楷体_GB2312" w:cs="仿宋_GB2312"/>
          <w:sz w:val="32"/>
          <w:szCs w:val="32"/>
        </w:rPr>
        <w:t>（牵头单位：市经济发展局、市综合执法局、市应急管理局；配合单位：市资规局、市消防大队）</w:t>
      </w:r>
    </w:p>
    <w:p>
      <w:pPr>
        <w:pStyle w:val="2"/>
        <w:ind w:firstLine="633"/>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）实施差别化电价。</w:t>
      </w:r>
      <w:r>
        <w:rPr>
          <w:rFonts w:hint="eastAsia" w:ascii="仿宋_GB2312" w:hAnsi="仿宋_GB2312" w:eastAsia="仿宋_GB2312" w:cs="仿宋_GB2312"/>
          <w:sz w:val="32"/>
          <w:szCs w:val="32"/>
        </w:rPr>
        <w:t>推进我市资源要素市场化配置改革和工业企业效益综合评价结果应用工作，严格落实《龙港市工业企业差别化电价管理实施方案（试行）》，根据2020年度“亩均论英雄”评价结果，对综合评价确定的D类企业，实施差别性电价，进一步提升电力资源利用效率，实现工业转型升级。</w:t>
      </w:r>
      <w:r>
        <w:rPr>
          <w:rFonts w:hint="eastAsia" w:ascii="楷体_GB2312" w:hAnsi="楷体" w:eastAsia="楷体_GB2312" w:cs="仿宋_GB2312"/>
          <w:sz w:val="32"/>
          <w:szCs w:val="32"/>
        </w:rPr>
        <w:t>（牵头单位：市经济发展局，配合单位：市供电公司）</w:t>
      </w:r>
    </w:p>
    <w:p>
      <w:pPr>
        <w:spacing w:line="540" w:lineRule="exact"/>
        <w:ind w:firstLine="632"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（二）实施公共机构领域节能行动</w:t>
      </w:r>
    </w:p>
    <w:p>
      <w:pPr>
        <w:spacing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建立健全公共机构节能管理制度，以人均用电量、单位面积用电量和下降率等指标为核心，制订实施党政机关、企事业单位的节能降耗方案及考核办法。制订空调管理制度，定期开展机关单位、企事业单位的冬、夏季空调温控执行检查。加强节约用电宣传，下班及时关闭办公设备电源，降低设备待机能耗，减少公共机构能源的浪费。配合推进全市光伏建设工作，做好党政机关、企事业单位屋顶光伏项目建设。全年公共机构用电量下降</w:t>
      </w:r>
      <w:r>
        <w:rPr>
          <w:rFonts w:ascii="仿宋_GB2312" w:hAnsi="Times New Roman" w:eastAsia="仿宋_GB2312"/>
          <w:sz w:val="32"/>
          <w:szCs w:val="32"/>
        </w:rPr>
        <w:t>20</w:t>
      </w:r>
      <w:r>
        <w:rPr>
          <w:rFonts w:hint="eastAsia" w:ascii="仿宋_GB2312" w:hAnsi="Times New Roman" w:eastAsia="仿宋_GB2312"/>
          <w:sz w:val="32"/>
          <w:szCs w:val="32"/>
        </w:rPr>
        <w:t>%以上。</w:t>
      </w:r>
      <w:r>
        <w:rPr>
          <w:rFonts w:hint="eastAsia" w:ascii="楷体_GB2312" w:hAnsi="楷体" w:eastAsia="楷体_GB2312" w:cs="仿宋_GB2312"/>
          <w:sz w:val="32"/>
          <w:szCs w:val="32"/>
        </w:rPr>
        <w:t>（牵头单位：市机关事务管理中心；配合单位：市直各有关部门）</w:t>
      </w:r>
    </w:p>
    <w:p>
      <w:pPr>
        <w:spacing w:line="600" w:lineRule="exact"/>
        <w:ind w:firstLine="63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（三）实施商业领域节能行动</w:t>
      </w:r>
    </w:p>
    <w:p>
      <w:pPr>
        <w:spacing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以大型商场、超市、宾馆为重点，严格贯彻落实温控要求，通过隔盏使用等方式，减少公共区域照明的密度，减少或关闭亮化照明；推广使用节能灯具，减少大功率、低效的射灯数量和使用时间；鼓励引导建设屋顶光伏。全年服务业用电量下降</w:t>
      </w:r>
      <w:r>
        <w:rPr>
          <w:rFonts w:ascii="仿宋_GB2312" w:hAnsi="Times New Roman" w:eastAsia="仿宋_GB2312"/>
          <w:sz w:val="32"/>
          <w:szCs w:val="32"/>
        </w:rPr>
        <w:t>15</w:t>
      </w:r>
      <w:r>
        <w:rPr>
          <w:rFonts w:hint="eastAsia" w:ascii="仿宋_GB2312" w:hAnsi="Times New Roman" w:eastAsia="仿宋_GB2312"/>
          <w:sz w:val="32"/>
          <w:szCs w:val="32"/>
        </w:rPr>
        <w:t>%以上。</w:t>
      </w:r>
      <w:r>
        <w:rPr>
          <w:rFonts w:hint="eastAsia" w:ascii="楷体_GB2312" w:hAnsi="楷体" w:eastAsia="楷体_GB2312" w:cs="仿宋_GB2312"/>
          <w:sz w:val="32"/>
          <w:szCs w:val="32"/>
        </w:rPr>
        <w:t>（牵头单位：市经济发展局）</w:t>
      </w:r>
    </w:p>
    <w:p>
      <w:pPr>
        <w:spacing w:line="600" w:lineRule="exact"/>
        <w:ind w:firstLine="63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（四）实施建筑领域节能行动</w:t>
      </w:r>
    </w:p>
    <w:p>
      <w:pPr>
        <w:spacing w:line="600" w:lineRule="exact"/>
        <w:ind w:firstLine="632" w:firstLineChars="200"/>
        <w:rPr>
          <w:rFonts w:ascii="楷体_GB2312" w:hAnsi="楷体" w:eastAsia="楷体_GB2312" w:cs="仿宋_GB2312"/>
          <w:sz w:val="32"/>
          <w:szCs w:val="32"/>
        </w:rPr>
      </w:pPr>
      <w:r>
        <w:rPr>
          <w:rFonts w:hint="eastAsia" w:ascii="仿宋_GB2312" w:hAnsi="Times New Roman" w:eastAsia="仿宋_GB2312"/>
          <w:sz w:val="32"/>
          <w:szCs w:val="32"/>
        </w:rPr>
        <w:t>制订建筑领域节能降耗实施计划，到年底前关闭龙港市鳌江沿线、世纪大道、龙港大道等主要干道以及住宅小区外墙亮化照明（两周年庆期间除外）；通过隔盏开启和凌晨提早关闭照明等方式，减少道路照明时间和密度。大力实施既有建筑改造行动，重点推广空气源热泵、太阳能、照明节电等建筑节能技术。大力探索和推进市政基础工程装配式施工，推动新型建筑工业化、智能化、信息化发展。全年建筑业用电量下降</w:t>
      </w:r>
      <w:r>
        <w:rPr>
          <w:rFonts w:ascii="仿宋_GB2312" w:hAnsi="Times New Roman" w:eastAsia="仿宋_GB2312"/>
          <w:sz w:val="32"/>
          <w:szCs w:val="32"/>
        </w:rPr>
        <w:t>10</w:t>
      </w:r>
      <w:r>
        <w:rPr>
          <w:rFonts w:hint="eastAsia" w:ascii="仿宋_GB2312" w:hAnsi="Times New Roman" w:eastAsia="仿宋_GB2312"/>
          <w:sz w:val="32"/>
          <w:szCs w:val="32"/>
        </w:rPr>
        <w:t>%以上。</w:t>
      </w:r>
      <w:r>
        <w:rPr>
          <w:rFonts w:hint="eastAsia" w:ascii="楷体_GB2312" w:hAnsi="楷体" w:eastAsia="楷体_GB2312" w:cs="仿宋_GB2312"/>
          <w:sz w:val="32"/>
          <w:szCs w:val="32"/>
        </w:rPr>
        <w:t>（牵头单位：市资规局、市综合执法局）</w:t>
      </w:r>
    </w:p>
    <w:p>
      <w:pPr>
        <w:pStyle w:val="2"/>
        <w:ind w:firstLine="633"/>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（五）加强节能宣传行动</w:t>
      </w:r>
    </w:p>
    <w:p>
      <w:pPr>
        <w:spacing w:line="600" w:lineRule="exact"/>
        <w:ind w:firstLine="632" w:firstLineChars="200"/>
        <w:rPr>
          <w:rFonts w:ascii="楷体_GB2312" w:hAnsi="楷体" w:eastAsia="楷体_GB2312" w:cs="仿宋_GB2312"/>
          <w:sz w:val="32"/>
          <w:szCs w:val="32"/>
        </w:rPr>
      </w:pPr>
      <w:r>
        <w:rPr>
          <w:rFonts w:hint="eastAsia" w:ascii="仿宋_GB2312" w:hAnsi="Times New Roman" w:eastAsia="仿宋_GB2312"/>
          <w:sz w:val="32"/>
          <w:szCs w:val="32"/>
        </w:rPr>
        <w:t>积极开展节能有关宣传活动。重点宣传节能降碳和绿色发展理念，普及节能降碳知识，提升全民节能意识；宣传节能增效和碳达峰、碳中和最新要求，宣讲节能降碳相关政策措施；普及节能标准和标识，积极推广节能降碳先进适用技术和产品，鼓励开展绿色消费，引导形成绿色低碳生产生活方式，推动全民节能。</w:t>
      </w:r>
      <w:r>
        <w:rPr>
          <w:rFonts w:hint="eastAsia" w:ascii="楷体_GB2312" w:hAnsi="楷体" w:eastAsia="楷体_GB2312" w:cs="仿宋_GB2312"/>
          <w:sz w:val="32"/>
          <w:szCs w:val="32"/>
        </w:rPr>
        <w:t>（牵头单位：市宣传统战部）</w:t>
      </w:r>
    </w:p>
    <w:bookmarkEnd w:id="1"/>
    <w:p>
      <w:pPr>
        <w:spacing w:line="600" w:lineRule="exact"/>
        <w:ind w:firstLine="632" w:firstLineChars="200"/>
        <w:rPr>
          <w:rFonts w:ascii="黑体" w:hAnsi="黑体" w:eastAsia="黑体"/>
          <w:sz w:val="32"/>
          <w:szCs w:val="32"/>
        </w:rPr>
      </w:pPr>
      <w:r>
        <w:rPr>
          <w:rFonts w:hint="eastAsia" w:ascii="黑体" w:hAnsi="黑体" w:eastAsia="黑体"/>
          <w:sz w:val="32"/>
          <w:szCs w:val="32"/>
        </w:rPr>
        <w:t>三、职责分工</w:t>
      </w:r>
    </w:p>
    <w:p>
      <w:pPr>
        <w:spacing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一）市经发局要切实发挥牵头组织作用，加强沟通协作，会同供电等部门做好本市节能降耗组织协调、监督指导、汇总汇报工作。要积极落实能源、工业、商业等领域节能，以多种形式宣传、引导工业企业、商贸企业节能降耗。合理制定执行方案，严格落实工业企业错峰生产行动，完成能耗压减任务。要做好单位GDP能耗、能源消费、规上企业能耗数据等能源相关数据的统计、分析、和预警。做好差别化电价实施工作。牵头实施高耗低效整治和电雕电镀园区、印染园区等整治。</w:t>
      </w:r>
    </w:p>
    <w:p>
      <w:pPr>
        <w:pStyle w:val="2"/>
        <w:ind w:firstLine="630"/>
        <w:rPr>
          <w:rFonts w:ascii="仿宋_GB2312" w:hAnsi="Times New Roman" w:eastAsia="仿宋_GB2312"/>
          <w:sz w:val="32"/>
          <w:szCs w:val="32"/>
        </w:rPr>
      </w:pPr>
      <w:r>
        <w:rPr>
          <w:rFonts w:hint="eastAsia" w:ascii="仿宋_GB2312" w:hAnsi="Times New Roman" w:eastAsia="仿宋_GB2312"/>
          <w:sz w:val="32"/>
          <w:szCs w:val="32"/>
        </w:rPr>
        <w:t>（二）市委宣统部负责做好节能降耗工作宣传，引导鼓励全社会参与节能工作，营造良好的社会氛围；负责做好网络舆情监控工作。</w:t>
      </w:r>
    </w:p>
    <w:p>
      <w:pPr>
        <w:spacing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三）市资规局、市综合执法局、市应急管理局、市消防大队按照各自职责制订相应节能降耗实施方案，负责做好对安全、环保、违章违建等方面存在问题的企业梳理和拆除等整治工作。化工园区的整治由市应急管理局负责。</w:t>
      </w:r>
    </w:p>
    <w:p>
      <w:pPr>
        <w:pStyle w:val="2"/>
        <w:ind w:firstLine="630"/>
        <w:rPr>
          <w:rFonts w:ascii="仿宋_GB2312" w:hAnsi="Times New Roman" w:eastAsia="仿宋_GB2312"/>
          <w:sz w:val="32"/>
          <w:szCs w:val="32"/>
        </w:rPr>
      </w:pPr>
      <w:r>
        <w:rPr>
          <w:rFonts w:hint="eastAsia" w:ascii="仿宋_GB2312" w:hAnsi="Times New Roman" w:eastAsia="仿宋_GB2312"/>
          <w:sz w:val="32"/>
          <w:szCs w:val="32"/>
        </w:rPr>
        <w:t>（四）市机关事务管理中心负责制订党政机关及企事业单位节能降耗工作的方案制订、管理和监督考核。</w:t>
      </w:r>
    </w:p>
    <w:p>
      <w:pPr>
        <w:spacing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（五）市供电公司要充分发挥户控系统的作用，及时监督和反馈方案执行情况，做好用电数据统计和分析工作，配合做好错峰生产执行与监督工作。负责做好居民用电工业化整治工作；配合做好差别化电价实施。</w:t>
      </w:r>
    </w:p>
    <w:p>
      <w:pPr>
        <w:spacing w:line="600" w:lineRule="exact"/>
        <w:ind w:firstLine="632" w:firstLineChars="200"/>
        <w:rPr>
          <w:rFonts w:ascii="仿宋_GB2312" w:hAnsi="Times New Roman" w:eastAsia="仿宋_GB2312"/>
          <w:b/>
          <w:bCs/>
          <w:sz w:val="32"/>
          <w:szCs w:val="32"/>
        </w:rPr>
      </w:pPr>
      <w:r>
        <w:rPr>
          <w:rFonts w:hint="eastAsia" w:ascii="黑体" w:hAnsi="黑体" w:eastAsia="黑体"/>
          <w:b/>
          <w:bCs/>
          <w:sz w:val="32"/>
          <w:szCs w:val="32"/>
        </w:rPr>
        <w:t>四、保障措施</w:t>
      </w:r>
    </w:p>
    <w:p>
      <w:pPr>
        <w:spacing w:line="600" w:lineRule="exact"/>
        <w:ind w:firstLine="632" w:firstLineChars="200"/>
        <w:rPr>
          <w:rFonts w:ascii="仿宋_GB2312" w:hAnsi="Times New Roman" w:eastAsia="仿宋_GB2312"/>
          <w:b/>
          <w:bCs/>
          <w:sz w:val="32"/>
          <w:szCs w:val="32"/>
        </w:rPr>
      </w:pPr>
      <w:r>
        <w:rPr>
          <w:rFonts w:hint="eastAsia" w:ascii="仿宋_GB2312" w:hAnsi="Times New Roman" w:eastAsia="仿宋_GB2312"/>
          <w:b/>
          <w:bCs/>
          <w:sz w:val="32"/>
          <w:szCs w:val="32"/>
        </w:rPr>
        <w:t>（一）强化组织保障</w:t>
      </w:r>
    </w:p>
    <w:p>
      <w:pPr>
        <w:spacing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实行专班运作，成立龙港市节能降耗工作领导小组，市政府主要领导任组长，市宣统部、市经发局、市资规局、市应急管理局、市综合执法局、市机关事务管理中心、市供电公司等单位为小组成员，市节能办负责具体工作部署、督查和通报。各小组成员确定1名联络员，负责协调相关工作。同时，抽调供电部门人员，联合市经济发展局实行合署办公。成立园区整治专班负责电雕电镀、化工、印染等园区整治。由低效工业用地整治攻坚行动专班负责高耗低效企业整治。成立能源“双控”督查检查专班，负责对全市能源“双控”工作落实的督查检查。</w:t>
      </w:r>
    </w:p>
    <w:p>
      <w:pPr>
        <w:spacing w:line="600" w:lineRule="exact"/>
        <w:ind w:firstLine="632" w:firstLineChars="200"/>
        <w:rPr>
          <w:rFonts w:ascii="仿宋_GB2312" w:hAnsi="Times New Roman" w:eastAsia="仿宋_GB2312"/>
          <w:b/>
          <w:bCs/>
          <w:sz w:val="32"/>
          <w:szCs w:val="32"/>
        </w:rPr>
      </w:pPr>
      <w:r>
        <w:rPr>
          <w:rFonts w:hint="eastAsia" w:ascii="仿宋_GB2312" w:hAnsi="Times New Roman" w:eastAsia="仿宋_GB2312"/>
          <w:b/>
          <w:bCs/>
          <w:sz w:val="32"/>
          <w:szCs w:val="32"/>
        </w:rPr>
        <w:t>（二）强化措施保障</w:t>
      </w:r>
    </w:p>
    <w:p>
      <w:pPr>
        <w:spacing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各牵头单位要结合单位实际，制订详细的工作实施方案，安排时间节点，落实相关责任人，并于9月</w:t>
      </w:r>
      <w:r>
        <w:rPr>
          <w:rFonts w:ascii="仿宋_GB2312" w:hAnsi="Times New Roman" w:eastAsia="仿宋_GB2312"/>
          <w:sz w:val="32"/>
          <w:szCs w:val="32"/>
        </w:rPr>
        <w:t>20</w:t>
      </w:r>
      <w:r>
        <w:rPr>
          <w:rFonts w:hint="eastAsia" w:ascii="仿宋_GB2312" w:hAnsi="Times New Roman" w:eastAsia="仿宋_GB2312"/>
          <w:sz w:val="32"/>
          <w:szCs w:val="32"/>
        </w:rPr>
        <w:t>日前将节能工作方案报至市节能办（市经发局产业发展模块），并积极落实节能降耗相关举措，并每月上报工作情况。</w:t>
      </w:r>
    </w:p>
    <w:p>
      <w:pPr>
        <w:spacing w:line="600" w:lineRule="exact"/>
        <w:ind w:firstLine="632" w:firstLineChars="200"/>
        <w:rPr>
          <w:rFonts w:ascii="仿宋_GB2312" w:hAnsi="Times New Roman" w:eastAsia="仿宋_GB2312"/>
          <w:b/>
          <w:bCs/>
          <w:sz w:val="32"/>
          <w:szCs w:val="32"/>
        </w:rPr>
      </w:pPr>
      <w:r>
        <w:rPr>
          <w:rFonts w:hint="eastAsia" w:ascii="仿宋_GB2312" w:hAnsi="Times New Roman" w:eastAsia="仿宋_GB2312"/>
          <w:b/>
          <w:bCs/>
          <w:sz w:val="32"/>
          <w:szCs w:val="32"/>
        </w:rPr>
        <w:t>（三）强化机制保障</w:t>
      </w:r>
    </w:p>
    <w:p>
      <w:pPr>
        <w:spacing w:line="600" w:lineRule="exact"/>
        <w:ind w:firstLine="632" w:firstLineChars="200"/>
        <w:rPr>
          <w:rFonts w:ascii="仿宋_GB2312" w:hAnsi="Times New Roman" w:eastAsia="仿宋_GB2312"/>
          <w:sz w:val="32"/>
          <w:szCs w:val="32"/>
        </w:rPr>
      </w:pPr>
      <w:r>
        <w:rPr>
          <w:rFonts w:ascii="Times New Roman" w:hAnsi="Times New Roman" w:eastAsia="仿宋_GB2312"/>
          <w:sz w:val="32"/>
          <w:szCs w:val="32"/>
        </w:rPr>
        <w:t>完善一</w:t>
      </w:r>
      <w:r>
        <w:rPr>
          <w:rFonts w:hint="eastAsia" w:ascii="Times New Roman" w:hAnsi="Times New Roman" w:eastAsia="仿宋_GB2312"/>
          <w:sz w:val="32"/>
          <w:szCs w:val="32"/>
        </w:rPr>
        <w:t>周</w:t>
      </w:r>
      <w:r>
        <w:rPr>
          <w:rFonts w:ascii="Times New Roman" w:hAnsi="Times New Roman" w:eastAsia="仿宋_GB2312"/>
          <w:sz w:val="32"/>
          <w:szCs w:val="32"/>
        </w:rPr>
        <w:t>一分析、一</w:t>
      </w:r>
      <w:r>
        <w:rPr>
          <w:rFonts w:hint="eastAsia" w:ascii="Times New Roman" w:hAnsi="Times New Roman" w:eastAsia="仿宋_GB2312"/>
          <w:sz w:val="32"/>
          <w:szCs w:val="32"/>
        </w:rPr>
        <w:t>周</w:t>
      </w:r>
      <w:r>
        <w:rPr>
          <w:rFonts w:ascii="Times New Roman" w:hAnsi="Times New Roman" w:eastAsia="仿宋_GB2312"/>
          <w:sz w:val="32"/>
          <w:szCs w:val="32"/>
        </w:rPr>
        <w:t>一通报、一</w:t>
      </w:r>
      <w:r>
        <w:rPr>
          <w:rFonts w:hint="eastAsia" w:ascii="Times New Roman" w:hAnsi="Times New Roman" w:eastAsia="仿宋_GB2312"/>
          <w:sz w:val="32"/>
          <w:szCs w:val="32"/>
        </w:rPr>
        <w:t>月</w:t>
      </w:r>
      <w:r>
        <w:rPr>
          <w:rFonts w:ascii="Times New Roman" w:hAnsi="Times New Roman" w:eastAsia="仿宋_GB2312"/>
          <w:sz w:val="32"/>
          <w:szCs w:val="32"/>
        </w:rPr>
        <w:t>一督查制度，每月</w:t>
      </w:r>
      <w:r>
        <w:rPr>
          <w:rFonts w:hint="eastAsia" w:ascii="Times New Roman" w:hAnsi="Times New Roman" w:eastAsia="仿宋_GB2312"/>
          <w:sz w:val="32"/>
          <w:szCs w:val="32"/>
        </w:rPr>
        <w:t>召开节能降耗分析会对</w:t>
      </w:r>
      <w:r>
        <w:rPr>
          <w:rFonts w:hint="eastAsia" w:ascii="仿宋_GB2312" w:hAnsi="Times New Roman" w:eastAsia="仿宋_GB2312"/>
          <w:sz w:val="32"/>
          <w:szCs w:val="32"/>
        </w:rPr>
        <w:t>各领域节能工作进展情况、规上工业能耗、用煤量及用电量情况进行分析和通报，根据工作实际情况调整和落实工作方案。</w:t>
      </w:r>
    </w:p>
    <w:p>
      <w:pPr>
        <w:pStyle w:val="2"/>
        <w:ind w:firstLine="633"/>
        <w:rPr>
          <w:rFonts w:ascii="仿宋_GB2312" w:hAnsi="Times New Roman" w:eastAsia="仿宋_GB2312"/>
          <w:sz w:val="32"/>
          <w:szCs w:val="32"/>
        </w:rPr>
      </w:pPr>
      <w:r>
        <w:rPr>
          <w:rFonts w:hint="eastAsia" w:ascii="仿宋_GB2312" w:hAnsi="Times New Roman" w:eastAsia="仿宋_GB2312"/>
          <w:b/>
          <w:bCs/>
          <w:sz w:val="32"/>
          <w:szCs w:val="32"/>
        </w:rPr>
        <w:t>（四）强化督查保障</w:t>
      </w:r>
    </w:p>
    <w:p>
      <w:pPr>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为确保完成年度能源“双控”约束性目标任务，由工作专班牵头，经发、资规、供电、应急、综合执法等部门配合，重点开展企业错峰生产以及规上企业控煤情况督查，并将督查结果及时报市政府主要领导。</w:t>
      </w:r>
    </w:p>
    <w:p>
      <w:pPr>
        <w:pStyle w:val="2"/>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龙港市能源“双控”攻坚行动领导小组</w:t>
      </w:r>
    </w:p>
    <w:p>
      <w:pPr>
        <w:pStyle w:val="2"/>
        <w:ind w:firstLine="1580" w:firstLineChars="5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龙港市2021年能源“双控”攻坚行动任务清单</w:t>
      </w:r>
    </w:p>
    <w:p>
      <w:pPr>
        <w:pStyle w:val="2"/>
        <w:ind w:left="1676" w:leftChars="200" w:hanging="1264"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rPr>
        <w:t>关于进一步规范节能审查和用电报装工作的实施 意见</w:t>
      </w:r>
    </w:p>
    <w:p>
      <w:pPr>
        <w:pStyle w:val="2"/>
        <w:ind w:firstLine="1580" w:firstLineChars="5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2"/>
        <w:ind w:firstLine="0" w:firstLineChars="0"/>
        <w:jc w:val="center"/>
        <w:rPr>
          <w:rFonts w:ascii="仿宋_GB2312" w:hAnsi="仿宋_GB2312" w:eastAsia="仿宋_GB2312" w:cs="仿宋_GB2312"/>
          <w:b/>
          <w:bCs/>
          <w:sz w:val="40"/>
          <w:szCs w:val="40"/>
        </w:rPr>
      </w:pPr>
      <w:r>
        <w:rPr>
          <w:rFonts w:hint="eastAsia" w:ascii="仿宋_GB2312" w:hAnsi="仿宋_GB2312" w:eastAsia="仿宋_GB2312" w:cs="仿宋_GB2312"/>
          <w:b/>
          <w:bCs/>
          <w:sz w:val="40"/>
          <w:szCs w:val="40"/>
        </w:rPr>
        <w:t>龙港市</w:t>
      </w:r>
      <w:bookmarkStart w:id="4" w:name="_Hlk82096469"/>
      <w:r>
        <w:rPr>
          <w:rFonts w:hint="eastAsia" w:ascii="仿宋_GB2312" w:hAnsi="仿宋_GB2312" w:eastAsia="仿宋_GB2312" w:cs="仿宋_GB2312"/>
          <w:b/>
          <w:bCs/>
          <w:sz w:val="40"/>
          <w:szCs w:val="40"/>
        </w:rPr>
        <w:t>能源“双控”攻坚行动</w:t>
      </w:r>
      <w:bookmarkEnd w:id="4"/>
      <w:r>
        <w:rPr>
          <w:rFonts w:hint="eastAsia" w:ascii="仿宋_GB2312" w:hAnsi="仿宋_GB2312" w:eastAsia="仿宋_GB2312" w:cs="仿宋_GB2312"/>
          <w:b/>
          <w:bCs/>
          <w:sz w:val="40"/>
          <w:szCs w:val="40"/>
        </w:rPr>
        <w:t>领导专班</w:t>
      </w:r>
    </w:p>
    <w:p>
      <w:pPr>
        <w:pStyle w:val="2"/>
        <w:ind w:firstLine="0" w:firstLineChars="0"/>
        <w:rPr>
          <w:rFonts w:ascii="仿宋_GB2312" w:hAnsi="黑体" w:eastAsia="仿宋_GB2312"/>
          <w:sz w:val="32"/>
          <w:szCs w:val="32"/>
        </w:rPr>
      </w:pPr>
    </w:p>
    <w:p>
      <w:pPr>
        <w:pStyle w:val="2"/>
        <w:ind w:firstLine="630"/>
        <w:rPr>
          <w:rFonts w:ascii="仿宋_GB2312" w:hAnsi="黑体" w:eastAsia="仿宋_GB2312"/>
          <w:sz w:val="32"/>
          <w:szCs w:val="32"/>
        </w:rPr>
      </w:pPr>
      <w:r>
        <w:rPr>
          <w:rFonts w:hint="eastAsia" w:ascii="仿宋_GB2312" w:hAnsi="黑体" w:eastAsia="仿宋_GB2312"/>
          <w:sz w:val="32"/>
          <w:szCs w:val="32"/>
        </w:rPr>
        <w:t>为认真贯彻落实省、市有关能源“双控”工作部署，精准落实各项节能措施，圆满完成攻坚行动目标任务，经市政府研究，</w:t>
      </w:r>
      <w:r>
        <w:rPr>
          <w:rFonts w:hint="eastAsia" w:ascii="仿宋_GB2312" w:eastAsia="仿宋_GB2312"/>
          <w:sz w:val="32"/>
          <w:szCs w:val="32"/>
        </w:rPr>
        <w:t>决定成立能源“双控”攻坚行动工作专班。现将有关事项通知如下：</w:t>
      </w:r>
    </w:p>
    <w:p>
      <w:pPr>
        <w:ind w:firstLine="632" w:firstLineChars="200"/>
        <w:rPr>
          <w:rFonts w:ascii="仿宋_GB2312" w:eastAsia="仿宋_GB2312"/>
          <w:b/>
          <w:bCs/>
          <w:sz w:val="32"/>
          <w:szCs w:val="32"/>
        </w:rPr>
      </w:pPr>
      <w:r>
        <w:rPr>
          <w:rFonts w:hint="eastAsia" w:ascii="仿宋_GB2312" w:eastAsia="仿宋_GB2312"/>
          <w:b/>
          <w:bCs/>
          <w:sz w:val="32"/>
          <w:szCs w:val="32"/>
        </w:rPr>
        <w:t>一、成立能源“双控”工作领导小组</w:t>
      </w:r>
    </w:p>
    <w:p>
      <w:pPr>
        <w:ind w:firstLine="632" w:firstLineChars="200"/>
        <w:rPr>
          <w:rFonts w:ascii="仿宋_GB2312" w:eastAsia="仿宋_GB2312"/>
          <w:sz w:val="32"/>
          <w:szCs w:val="32"/>
        </w:rPr>
      </w:pPr>
      <w:r>
        <w:rPr>
          <w:rFonts w:hint="eastAsia" w:ascii="仿宋_GB2312" w:eastAsia="仿宋_GB2312"/>
          <w:sz w:val="32"/>
          <w:szCs w:val="32"/>
        </w:rPr>
        <w:t>组　长：何宗静（市委副书记、市长）</w:t>
      </w:r>
    </w:p>
    <w:p>
      <w:pPr>
        <w:ind w:firstLine="632" w:firstLineChars="200"/>
        <w:rPr>
          <w:rFonts w:ascii="仿宋_GB2312" w:eastAsia="仿宋_GB2312"/>
          <w:sz w:val="32"/>
          <w:szCs w:val="32"/>
        </w:rPr>
      </w:pPr>
      <w:r>
        <w:rPr>
          <w:rFonts w:hint="eastAsia" w:ascii="仿宋_GB2312" w:eastAsia="仿宋_GB2312"/>
          <w:sz w:val="32"/>
          <w:szCs w:val="32"/>
        </w:rPr>
        <w:t>副组长：黄振国（副市长）</w:t>
      </w:r>
    </w:p>
    <w:p>
      <w:pPr>
        <w:ind w:firstLine="632" w:firstLineChars="200"/>
        <w:rPr>
          <w:rFonts w:ascii="仿宋_GB2312" w:eastAsia="仿宋_GB2312"/>
          <w:sz w:val="32"/>
          <w:szCs w:val="32"/>
        </w:rPr>
      </w:pPr>
      <w:r>
        <w:rPr>
          <w:rFonts w:hint="eastAsia" w:ascii="仿宋_GB2312" w:eastAsia="仿宋_GB2312"/>
          <w:sz w:val="32"/>
          <w:szCs w:val="32"/>
        </w:rPr>
        <w:t>成　员：黄瑞存（市纪委、市监委）</w:t>
      </w:r>
    </w:p>
    <w:p>
      <w:pPr>
        <w:ind w:firstLine="1896" w:firstLineChars="600"/>
        <w:rPr>
          <w:rFonts w:ascii="仿宋_GB2312" w:eastAsia="仿宋_GB2312"/>
          <w:sz w:val="32"/>
          <w:szCs w:val="32"/>
        </w:rPr>
      </w:pPr>
      <w:r>
        <w:rPr>
          <w:rFonts w:hint="eastAsia" w:ascii="仿宋_GB2312" w:eastAsia="仿宋_GB2312"/>
          <w:sz w:val="32"/>
          <w:szCs w:val="32"/>
        </w:rPr>
        <w:t>林垂共（市委市府办）</w:t>
      </w:r>
    </w:p>
    <w:p>
      <w:pPr>
        <w:ind w:firstLine="1896" w:firstLineChars="600"/>
        <w:rPr>
          <w:rFonts w:ascii="仿宋_GB2312" w:eastAsia="仿宋_GB2312"/>
          <w:sz w:val="32"/>
          <w:szCs w:val="32"/>
        </w:rPr>
      </w:pPr>
      <w:r>
        <w:rPr>
          <w:rFonts w:hint="eastAsia" w:ascii="仿宋_GB2312" w:eastAsia="仿宋_GB2312"/>
          <w:sz w:val="32"/>
          <w:szCs w:val="32"/>
        </w:rPr>
        <w:t>彭思藏（市委宣传统战部）</w:t>
      </w:r>
    </w:p>
    <w:p>
      <w:pPr>
        <w:pStyle w:val="2"/>
        <w:ind w:firstLine="1896" w:firstLineChars="600"/>
      </w:pPr>
      <w:r>
        <w:rPr>
          <w:rFonts w:hint="eastAsia" w:ascii="仿宋_GB2312" w:eastAsia="仿宋_GB2312"/>
          <w:sz w:val="32"/>
          <w:szCs w:val="32"/>
        </w:rPr>
        <w:t>温从明（市经济发展局）</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丁云勇（社会事业局）</w:t>
      </w:r>
    </w:p>
    <w:p>
      <w:pPr>
        <w:ind w:firstLine="1896" w:firstLineChars="600"/>
        <w:rPr>
          <w:rFonts w:ascii="仿宋_GB2312" w:eastAsia="仿宋_GB2312"/>
          <w:sz w:val="32"/>
          <w:szCs w:val="32"/>
        </w:rPr>
      </w:pPr>
      <w:r>
        <w:rPr>
          <w:rFonts w:hint="eastAsia" w:ascii="仿宋_GB2312" w:eastAsia="仿宋_GB2312"/>
          <w:sz w:val="32"/>
          <w:szCs w:val="32"/>
        </w:rPr>
        <w:t>胡碧群（市自然资源与规划建设局）</w:t>
      </w:r>
    </w:p>
    <w:p>
      <w:pPr>
        <w:ind w:firstLine="1896" w:firstLineChars="600"/>
        <w:rPr>
          <w:rFonts w:ascii="仿宋_GB2312" w:eastAsia="仿宋_GB2312"/>
          <w:sz w:val="32"/>
          <w:szCs w:val="32"/>
        </w:rPr>
      </w:pPr>
      <w:r>
        <w:rPr>
          <w:rFonts w:hint="eastAsia" w:ascii="仿宋_GB2312" w:eastAsia="仿宋_GB2312"/>
          <w:sz w:val="32"/>
          <w:szCs w:val="32"/>
        </w:rPr>
        <w:t>缪维宝（市应急管理局）</w:t>
      </w:r>
    </w:p>
    <w:p>
      <w:pPr>
        <w:ind w:firstLine="1896" w:firstLineChars="600"/>
        <w:rPr>
          <w:rFonts w:ascii="仿宋_GB2312" w:eastAsia="仿宋_GB2312"/>
          <w:sz w:val="32"/>
          <w:szCs w:val="32"/>
        </w:rPr>
      </w:pPr>
      <w:r>
        <w:rPr>
          <w:rFonts w:hint="eastAsia" w:ascii="仿宋_GB2312" w:eastAsia="仿宋_GB2312"/>
          <w:sz w:val="32"/>
          <w:szCs w:val="32"/>
        </w:rPr>
        <w:t>方以军（市综合执法局）</w:t>
      </w:r>
    </w:p>
    <w:p>
      <w:pPr>
        <w:ind w:firstLine="1896" w:firstLineChars="600"/>
        <w:rPr>
          <w:rFonts w:ascii="仿宋_GB2312" w:eastAsia="仿宋_GB2312"/>
          <w:sz w:val="32"/>
          <w:szCs w:val="32"/>
        </w:rPr>
      </w:pPr>
      <w:r>
        <w:rPr>
          <w:rFonts w:hint="eastAsia" w:ascii="仿宋_GB2312" w:eastAsia="仿宋_GB2312"/>
          <w:sz w:val="32"/>
          <w:szCs w:val="32"/>
        </w:rPr>
        <w:t>张忠财（市消防大队）</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王 </w:t>
      </w:r>
      <w:r>
        <w:rPr>
          <w:rFonts w:ascii="仿宋_GB2312" w:eastAsia="仿宋_GB2312"/>
          <w:sz w:val="32"/>
          <w:szCs w:val="32"/>
        </w:rPr>
        <w:t xml:space="preserve"> </w:t>
      </w:r>
      <w:r>
        <w:rPr>
          <w:rFonts w:hint="eastAsia" w:ascii="仿宋_GB2312" w:eastAsia="仿宋_GB2312"/>
          <w:sz w:val="32"/>
          <w:szCs w:val="32"/>
        </w:rPr>
        <w:t>璐（市供电公司）</w:t>
      </w:r>
    </w:p>
    <w:p>
      <w:pPr>
        <w:pStyle w:val="2"/>
        <w:ind w:firstLine="633"/>
        <w:rPr>
          <w:rFonts w:ascii="仿宋_GB2312" w:eastAsia="仿宋_GB2312"/>
          <w:b/>
          <w:bCs/>
          <w:sz w:val="32"/>
          <w:szCs w:val="32"/>
        </w:rPr>
      </w:pPr>
      <w:r>
        <w:rPr>
          <w:rFonts w:hint="eastAsia" w:ascii="仿宋_GB2312" w:eastAsia="仿宋_GB2312"/>
          <w:b/>
          <w:bCs/>
          <w:sz w:val="32"/>
          <w:szCs w:val="32"/>
        </w:rPr>
        <w:t>二、成立园区整治专班</w:t>
      </w:r>
    </w:p>
    <w:p>
      <w:pPr>
        <w:ind w:firstLine="632" w:firstLineChars="200"/>
        <w:rPr>
          <w:rFonts w:ascii="仿宋_GB2312" w:eastAsia="仿宋_GB2312"/>
          <w:sz w:val="32"/>
          <w:szCs w:val="32"/>
        </w:rPr>
      </w:pPr>
      <w:r>
        <w:rPr>
          <w:rFonts w:hint="eastAsia" w:ascii="仿宋_GB2312" w:eastAsia="仿宋_GB2312"/>
          <w:sz w:val="32"/>
          <w:szCs w:val="32"/>
        </w:rPr>
        <w:t>组　长：黄振国（副市长）</w:t>
      </w:r>
    </w:p>
    <w:p>
      <w:pPr>
        <w:ind w:firstLine="632" w:firstLineChars="200"/>
        <w:rPr>
          <w:rFonts w:ascii="仿宋_GB2312" w:eastAsia="仿宋_GB2312"/>
          <w:sz w:val="32"/>
          <w:szCs w:val="32"/>
        </w:rPr>
      </w:pPr>
      <w:r>
        <w:rPr>
          <w:rFonts w:hint="eastAsia" w:ascii="仿宋_GB2312" w:eastAsia="仿宋_GB2312"/>
          <w:sz w:val="32"/>
          <w:szCs w:val="32"/>
        </w:rPr>
        <w:t>副组长：温从明（市经济发展局）</w:t>
      </w:r>
    </w:p>
    <w:p>
      <w:pPr>
        <w:pStyle w:val="2"/>
        <w:ind w:firstLine="1896" w:firstLineChars="600"/>
        <w:rPr>
          <w:rFonts w:ascii="仿宋_GB2312" w:eastAsia="仿宋_GB2312"/>
          <w:sz w:val="32"/>
          <w:szCs w:val="32"/>
        </w:rPr>
      </w:pPr>
      <w:r>
        <w:rPr>
          <w:rFonts w:hint="eastAsia" w:ascii="仿宋_GB2312" w:eastAsia="仿宋_GB2312"/>
          <w:sz w:val="32"/>
          <w:szCs w:val="32"/>
        </w:rPr>
        <w:t>缪维宝（市应急管理局）</w:t>
      </w:r>
    </w:p>
    <w:p>
      <w:pPr>
        <w:ind w:firstLine="632" w:firstLineChars="200"/>
        <w:rPr>
          <w:rFonts w:ascii="仿宋_GB2312" w:eastAsia="仿宋_GB2312"/>
          <w:sz w:val="32"/>
          <w:szCs w:val="32"/>
        </w:rPr>
      </w:pPr>
      <w:r>
        <w:rPr>
          <w:rFonts w:hint="eastAsia" w:ascii="仿宋_GB2312" w:eastAsia="仿宋_GB2312"/>
          <w:sz w:val="32"/>
          <w:szCs w:val="32"/>
        </w:rPr>
        <w:t>成　员：李绍省（市经济发展局）</w:t>
      </w:r>
    </w:p>
    <w:p>
      <w:pPr>
        <w:ind w:firstLine="1896" w:firstLineChars="600"/>
        <w:rPr>
          <w:rFonts w:ascii="仿宋_GB2312" w:eastAsia="仿宋_GB2312"/>
          <w:sz w:val="32"/>
          <w:szCs w:val="32"/>
        </w:rPr>
      </w:pPr>
      <w:r>
        <w:rPr>
          <w:rFonts w:hint="eastAsia" w:ascii="仿宋_GB2312" w:eastAsia="仿宋_GB2312"/>
          <w:sz w:val="32"/>
          <w:szCs w:val="32"/>
        </w:rPr>
        <w:t>高满盛（市应急管理局）</w:t>
      </w:r>
    </w:p>
    <w:p>
      <w:pPr>
        <w:ind w:firstLine="1896" w:firstLineChars="600"/>
        <w:rPr>
          <w:rFonts w:ascii="仿宋_GB2312" w:eastAsia="仿宋_GB2312"/>
          <w:sz w:val="32"/>
          <w:szCs w:val="32"/>
        </w:rPr>
      </w:pPr>
      <w:r>
        <w:rPr>
          <w:rFonts w:hint="eastAsia" w:ascii="仿宋_GB2312" w:eastAsia="仿宋_GB2312"/>
          <w:sz w:val="32"/>
          <w:szCs w:val="32"/>
        </w:rPr>
        <w:t>薛盛达（市综合执法局）</w:t>
      </w:r>
    </w:p>
    <w:p>
      <w:pPr>
        <w:pStyle w:val="2"/>
        <w:ind w:firstLine="63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卢成武（市新城开发建设中心）</w:t>
      </w:r>
    </w:p>
    <w:p>
      <w:pPr>
        <w:ind w:firstLine="1896" w:firstLineChars="600"/>
        <w:rPr>
          <w:rFonts w:ascii="仿宋_GB2312" w:eastAsia="仿宋_GB2312"/>
          <w:sz w:val="32"/>
          <w:szCs w:val="32"/>
        </w:rPr>
      </w:pPr>
      <w:r>
        <w:rPr>
          <w:rFonts w:hint="eastAsia" w:ascii="仿宋_GB2312" w:eastAsia="仿宋_GB2312"/>
          <w:sz w:val="32"/>
          <w:szCs w:val="32"/>
        </w:rPr>
        <w:t>侯晓华（市消防大队）</w:t>
      </w:r>
    </w:p>
    <w:p>
      <w:pPr>
        <w:pStyle w:val="2"/>
        <w:ind w:firstLine="63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陈加银（市供电公司）</w:t>
      </w:r>
    </w:p>
    <w:p>
      <w:pPr>
        <w:pStyle w:val="2"/>
        <w:ind w:firstLine="633"/>
        <w:rPr>
          <w:rFonts w:ascii="仿宋_GB2312" w:eastAsia="仿宋_GB2312"/>
          <w:b/>
          <w:bCs/>
          <w:sz w:val="32"/>
          <w:szCs w:val="32"/>
        </w:rPr>
      </w:pPr>
      <w:r>
        <w:rPr>
          <w:rFonts w:hint="eastAsia" w:ascii="仿宋_GB2312" w:eastAsia="仿宋_GB2312"/>
          <w:b/>
          <w:bCs/>
          <w:sz w:val="32"/>
          <w:szCs w:val="32"/>
        </w:rPr>
        <w:t>三、成立督查检查专班</w:t>
      </w:r>
    </w:p>
    <w:p>
      <w:pPr>
        <w:ind w:firstLine="632" w:firstLineChars="200"/>
        <w:rPr>
          <w:rFonts w:ascii="仿宋_GB2312" w:eastAsia="仿宋_GB2312"/>
          <w:sz w:val="32"/>
          <w:szCs w:val="32"/>
        </w:rPr>
      </w:pPr>
      <w:r>
        <w:rPr>
          <w:rFonts w:hint="eastAsia" w:ascii="仿宋_GB2312" w:eastAsia="仿宋_GB2312"/>
          <w:sz w:val="32"/>
          <w:szCs w:val="32"/>
        </w:rPr>
        <w:t>组　长：黄振国（副市长）</w:t>
      </w:r>
    </w:p>
    <w:p>
      <w:pPr>
        <w:ind w:firstLine="632" w:firstLineChars="200"/>
        <w:rPr>
          <w:rFonts w:ascii="仿宋_GB2312" w:eastAsia="仿宋_GB2312"/>
          <w:sz w:val="32"/>
          <w:szCs w:val="32"/>
        </w:rPr>
      </w:pPr>
      <w:r>
        <w:rPr>
          <w:rFonts w:hint="eastAsia" w:ascii="仿宋_GB2312" w:eastAsia="仿宋_GB2312"/>
          <w:sz w:val="32"/>
          <w:szCs w:val="32"/>
        </w:rPr>
        <w:t>成　员：杨瑶鹏（市纪委）</w:t>
      </w:r>
    </w:p>
    <w:p>
      <w:pPr>
        <w:pStyle w:val="2"/>
        <w:ind w:firstLine="63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陈细华（市委市府办督查室）</w:t>
      </w:r>
    </w:p>
    <w:p>
      <w:pPr>
        <w:pStyle w:val="2"/>
        <w:ind w:firstLine="1896" w:firstLineChars="600"/>
        <w:rPr>
          <w:rFonts w:ascii="仿宋_GB2312" w:eastAsia="仿宋_GB2312"/>
          <w:sz w:val="32"/>
          <w:szCs w:val="32"/>
        </w:rPr>
      </w:pPr>
      <w:r>
        <w:rPr>
          <w:rFonts w:hint="eastAsia" w:ascii="仿宋_GB2312" w:eastAsia="仿宋_GB2312"/>
          <w:sz w:val="32"/>
          <w:szCs w:val="32"/>
        </w:rPr>
        <w:t>李绍省（市经济发展局）</w:t>
      </w:r>
    </w:p>
    <w:p>
      <w:pPr>
        <w:pStyle w:val="2"/>
        <w:ind w:firstLine="1896" w:firstLineChars="600"/>
        <w:rPr>
          <w:rFonts w:ascii="仿宋_GB2312" w:eastAsia="仿宋_GB2312"/>
          <w:sz w:val="32"/>
          <w:szCs w:val="32"/>
        </w:rPr>
      </w:pPr>
      <w:r>
        <w:rPr>
          <w:rFonts w:hint="eastAsia" w:ascii="仿宋_GB2312" w:eastAsia="仿宋_GB2312"/>
          <w:sz w:val="32"/>
          <w:szCs w:val="32"/>
        </w:rPr>
        <w:t>陈加银（市供电公司）</w:t>
      </w:r>
    </w:p>
    <w:p>
      <w:pPr>
        <w:pStyle w:val="2"/>
        <w:ind w:firstLine="0" w:firstLineChars="0"/>
        <w:rPr>
          <w:rFonts w:ascii="仿宋_GB2312" w:hAnsi="仿宋_GB2312" w:eastAsia="仿宋_GB2312" w:cs="仿宋_GB2312"/>
          <w:sz w:val="32"/>
          <w:szCs w:val="32"/>
        </w:rPr>
        <w:sectPr>
          <w:footerReference r:id="rId3" w:type="default"/>
          <w:footerReference r:id="rId4" w:type="even"/>
          <w:pgSz w:w="11906" w:h="16838"/>
          <w:pgMar w:top="1701" w:right="1531" w:bottom="1440" w:left="1474" w:header="851" w:footer="1588" w:gutter="0"/>
          <w:pgNumType w:fmt="numberInDash"/>
          <w:cols w:space="425" w:num="1"/>
          <w:docGrid w:type="linesAndChars" w:linePitch="579" w:charSpace="-1024"/>
        </w:sectPr>
      </w:pPr>
    </w:p>
    <w:p>
      <w:pPr>
        <w:pStyle w:val="2"/>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2</w:t>
      </w:r>
    </w:p>
    <w:p>
      <w:pPr>
        <w:pStyle w:val="2"/>
        <w:ind w:firstLine="0" w:firstLineChars="0"/>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龙港市2021年能源“双控”攻坚行动任务清单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2113"/>
        <w:gridCol w:w="2533"/>
        <w:gridCol w:w="4678"/>
        <w:gridCol w:w="255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tcPr>
          <w:p>
            <w:pPr>
              <w:pStyle w:val="2"/>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113" w:type="dxa"/>
          </w:tcPr>
          <w:p>
            <w:pPr>
              <w:pStyle w:val="2"/>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工作任务</w:t>
            </w:r>
          </w:p>
        </w:tc>
        <w:tc>
          <w:tcPr>
            <w:tcW w:w="2533" w:type="dxa"/>
          </w:tcPr>
          <w:p>
            <w:pPr>
              <w:pStyle w:val="2"/>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工作内容</w:t>
            </w:r>
          </w:p>
        </w:tc>
        <w:tc>
          <w:tcPr>
            <w:tcW w:w="4678" w:type="dxa"/>
          </w:tcPr>
          <w:p>
            <w:pPr>
              <w:pStyle w:val="2"/>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工作目标</w:t>
            </w:r>
          </w:p>
        </w:tc>
        <w:tc>
          <w:tcPr>
            <w:tcW w:w="2559" w:type="dxa"/>
          </w:tcPr>
          <w:p>
            <w:pPr>
              <w:pStyle w:val="2"/>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责任单位</w:t>
            </w:r>
          </w:p>
        </w:tc>
        <w:tc>
          <w:tcPr>
            <w:tcW w:w="1323" w:type="dxa"/>
          </w:tcPr>
          <w:p>
            <w:pPr>
              <w:pStyle w:val="2"/>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pStyle w:val="2"/>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113" w:type="dxa"/>
            <w:vMerge w:val="restart"/>
            <w:vAlign w:val="center"/>
          </w:tcPr>
          <w:p>
            <w:pPr>
              <w:pStyle w:val="2"/>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一、工业节能行动</w:t>
            </w:r>
          </w:p>
        </w:tc>
        <w:tc>
          <w:tcPr>
            <w:tcW w:w="2533"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w:t>
            </w:r>
            <w:r>
              <w:rPr>
                <w:rFonts w:hint="eastAsia" w:ascii="仿宋_GB2312" w:hAnsi="仿宋_GB2312" w:eastAsia="仿宋_GB2312" w:cs="仿宋_GB2312"/>
                <w:sz w:val="24"/>
              </w:rPr>
              <w:t>实施错避峰用电</w:t>
            </w:r>
          </w:p>
        </w:tc>
        <w:tc>
          <w:tcPr>
            <w:tcW w:w="4678" w:type="dxa"/>
            <w:vAlign w:val="center"/>
          </w:tcPr>
          <w:p>
            <w:pPr>
              <w:pStyle w:val="2"/>
              <w:spacing w:line="300" w:lineRule="exact"/>
              <w:ind w:firstLine="480"/>
              <w:jc w:val="left"/>
              <w:rPr>
                <w:rFonts w:ascii="仿宋_GB2312" w:hAnsi="仿宋_GB2312" w:eastAsia="仿宋_GB2312" w:cs="仿宋_GB2312"/>
                <w:sz w:val="24"/>
              </w:rPr>
            </w:pPr>
            <w:r>
              <w:rPr>
                <w:rFonts w:hint="eastAsia" w:ascii="仿宋_GB2312" w:hAnsi="仿宋_GB2312" w:eastAsia="仿宋_GB2312" w:cs="仿宋_GB2312"/>
                <w:sz w:val="24"/>
              </w:rPr>
              <w:t>对照月度用电量控制目标，编制差异化错峰生产计划，并严格做好执行落实。月度压减用电</w:t>
            </w:r>
            <w:r>
              <w:rPr>
                <w:rFonts w:ascii="仿宋_GB2312" w:hAnsi="仿宋_GB2312" w:eastAsia="仿宋_GB2312" w:cs="仿宋_GB2312"/>
                <w:sz w:val="24"/>
              </w:rPr>
              <w:t>5</w:t>
            </w:r>
            <w:r>
              <w:rPr>
                <w:rFonts w:hint="eastAsia" w:ascii="仿宋_GB2312" w:hAnsi="仿宋_GB2312" w:eastAsia="仿宋_GB2312" w:cs="仿宋_GB2312"/>
                <w:sz w:val="24"/>
              </w:rPr>
              <w:t>000万千瓦时以上。</w:t>
            </w:r>
          </w:p>
        </w:tc>
        <w:tc>
          <w:tcPr>
            <w:tcW w:w="2559"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*市经济发展局、市供电公司</w:t>
            </w:r>
          </w:p>
        </w:tc>
        <w:tc>
          <w:tcPr>
            <w:tcW w:w="1323" w:type="dxa"/>
            <w:vAlign w:val="center"/>
          </w:tcPr>
          <w:p>
            <w:pPr>
              <w:pStyle w:val="2"/>
              <w:ind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pStyle w:val="2"/>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113" w:type="dxa"/>
            <w:vMerge w:val="continue"/>
            <w:vAlign w:val="center"/>
          </w:tcPr>
          <w:p>
            <w:pPr>
              <w:pStyle w:val="2"/>
              <w:ind w:firstLine="0" w:firstLineChars="0"/>
              <w:jc w:val="center"/>
              <w:rPr>
                <w:rFonts w:ascii="仿宋_GB2312" w:hAnsi="仿宋_GB2312" w:eastAsia="仿宋_GB2312" w:cs="仿宋_GB2312"/>
                <w:sz w:val="24"/>
              </w:rPr>
            </w:pPr>
          </w:p>
        </w:tc>
        <w:tc>
          <w:tcPr>
            <w:tcW w:w="2533"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建立能耗准入机制</w:t>
            </w:r>
          </w:p>
        </w:tc>
        <w:tc>
          <w:tcPr>
            <w:tcW w:w="4678" w:type="dxa"/>
            <w:vAlign w:val="center"/>
          </w:tcPr>
          <w:p>
            <w:pPr>
              <w:pStyle w:val="2"/>
              <w:spacing w:line="300" w:lineRule="exact"/>
              <w:ind w:firstLine="480"/>
              <w:jc w:val="left"/>
              <w:rPr>
                <w:rFonts w:ascii="仿宋_GB2312" w:hAnsi="仿宋_GB2312" w:eastAsia="仿宋_GB2312" w:cs="仿宋_GB2312"/>
                <w:sz w:val="24"/>
              </w:rPr>
            </w:pPr>
            <w:r>
              <w:rPr>
                <w:rFonts w:hint="eastAsia" w:ascii="仿宋_GB2312" w:hAnsi="仿宋_GB2312" w:eastAsia="仿宋_GB2312" w:cs="仿宋_GB2312"/>
                <w:sz w:val="24"/>
              </w:rPr>
              <w:t>确定招引项目能耗准入标准及审查审批和监管、报装流程。</w:t>
            </w:r>
          </w:p>
        </w:tc>
        <w:tc>
          <w:tcPr>
            <w:tcW w:w="2559"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*市经济发展局、市投促中心、市审批中心、市供电公司</w:t>
            </w:r>
          </w:p>
        </w:tc>
        <w:tc>
          <w:tcPr>
            <w:tcW w:w="1323" w:type="dxa"/>
            <w:vAlign w:val="center"/>
          </w:tcPr>
          <w:p>
            <w:pPr>
              <w:pStyle w:val="2"/>
              <w:ind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pStyle w:val="2"/>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113" w:type="dxa"/>
            <w:vMerge w:val="continue"/>
            <w:vAlign w:val="center"/>
          </w:tcPr>
          <w:p>
            <w:pPr>
              <w:pStyle w:val="2"/>
              <w:ind w:firstLine="0" w:firstLineChars="0"/>
              <w:jc w:val="center"/>
              <w:rPr>
                <w:rFonts w:ascii="仿宋_GB2312" w:hAnsi="仿宋_GB2312" w:eastAsia="仿宋_GB2312" w:cs="仿宋_GB2312"/>
                <w:sz w:val="24"/>
              </w:rPr>
            </w:pPr>
          </w:p>
        </w:tc>
        <w:tc>
          <w:tcPr>
            <w:tcW w:w="2533" w:type="dxa"/>
            <w:vAlign w:val="center"/>
          </w:tcPr>
          <w:p>
            <w:pPr>
              <w:pStyle w:val="2"/>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w:t>
            </w:r>
            <w:r>
              <w:rPr>
                <w:rFonts w:hint="eastAsia" w:ascii="仿宋_GB2312" w:hAnsi="仿宋_GB2312" w:eastAsia="仿宋_GB2312" w:cs="仿宋_GB2312"/>
                <w:sz w:val="24"/>
              </w:rPr>
              <w:t>重点单位监管</w:t>
            </w:r>
          </w:p>
        </w:tc>
        <w:tc>
          <w:tcPr>
            <w:tcW w:w="4678" w:type="dxa"/>
            <w:vAlign w:val="center"/>
          </w:tcPr>
          <w:p>
            <w:pPr>
              <w:pStyle w:val="2"/>
              <w:spacing w:line="300" w:lineRule="exact"/>
              <w:ind w:firstLine="480"/>
              <w:jc w:val="left"/>
              <w:rPr>
                <w:rFonts w:ascii="仿宋_GB2312" w:hAnsi="仿宋_GB2312" w:eastAsia="仿宋_GB2312" w:cs="仿宋_GB2312"/>
                <w:sz w:val="24"/>
              </w:rPr>
            </w:pPr>
            <w:r>
              <w:rPr>
                <w:rFonts w:hint="eastAsia" w:ascii="仿宋_GB2312" w:hAnsi="仿宋_GB2312" w:eastAsia="仿宋_GB2312" w:cs="仿宋_GB2312"/>
                <w:sz w:val="24"/>
              </w:rPr>
              <w:t>下达年度产值能耗下降目标和能源消费总量用能控制目标。争取重点用能企业单位产值能耗下降3%以上。</w:t>
            </w:r>
          </w:p>
        </w:tc>
        <w:tc>
          <w:tcPr>
            <w:tcW w:w="2559"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市经济发展局</w:t>
            </w:r>
          </w:p>
        </w:tc>
        <w:tc>
          <w:tcPr>
            <w:tcW w:w="1323" w:type="dxa"/>
            <w:vAlign w:val="center"/>
          </w:tcPr>
          <w:p>
            <w:pPr>
              <w:pStyle w:val="2"/>
              <w:ind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pStyle w:val="2"/>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113" w:type="dxa"/>
            <w:vMerge w:val="continue"/>
            <w:vAlign w:val="center"/>
          </w:tcPr>
          <w:p>
            <w:pPr>
              <w:pStyle w:val="2"/>
              <w:ind w:firstLine="0" w:firstLineChars="0"/>
              <w:jc w:val="center"/>
              <w:rPr>
                <w:rFonts w:ascii="仿宋_GB2312" w:hAnsi="仿宋_GB2312" w:eastAsia="仿宋_GB2312" w:cs="仿宋_GB2312"/>
                <w:sz w:val="24"/>
              </w:rPr>
            </w:pPr>
          </w:p>
        </w:tc>
        <w:tc>
          <w:tcPr>
            <w:tcW w:w="2533" w:type="dxa"/>
            <w:vAlign w:val="center"/>
          </w:tcPr>
          <w:p>
            <w:pPr>
              <w:pStyle w:val="2"/>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4</w:t>
            </w:r>
            <w:r>
              <w:rPr>
                <w:rFonts w:ascii="仿宋_GB2312" w:hAnsi="仿宋_GB2312" w:eastAsia="仿宋_GB2312" w:cs="仿宋_GB2312"/>
                <w:sz w:val="24"/>
              </w:rPr>
              <w:t>.</w:t>
            </w:r>
            <w:r>
              <w:rPr>
                <w:rFonts w:hint="eastAsia" w:ascii="仿宋_GB2312" w:hAnsi="仿宋_GB2312" w:eastAsia="仿宋_GB2312" w:cs="仿宋_GB2312"/>
                <w:sz w:val="24"/>
              </w:rPr>
              <w:t>加强煤炭管理</w:t>
            </w:r>
          </w:p>
        </w:tc>
        <w:tc>
          <w:tcPr>
            <w:tcW w:w="4678" w:type="dxa"/>
            <w:vAlign w:val="center"/>
          </w:tcPr>
          <w:p>
            <w:pPr>
              <w:pStyle w:val="2"/>
              <w:spacing w:line="300" w:lineRule="exact"/>
              <w:ind w:firstLine="480"/>
              <w:jc w:val="left"/>
              <w:rPr>
                <w:rFonts w:ascii="仿宋_GB2312" w:hAnsi="仿宋_GB2312" w:eastAsia="仿宋_GB2312" w:cs="仿宋_GB2312"/>
                <w:sz w:val="24"/>
              </w:rPr>
            </w:pPr>
            <w:r>
              <w:rPr>
                <w:rFonts w:hint="eastAsia" w:ascii="仿宋_GB2312" w:hAnsi="仿宋_GB2312" w:eastAsia="仿宋_GB2312" w:cs="仿宋_GB2312"/>
                <w:sz w:val="24"/>
              </w:rPr>
              <w:t>加强规上用煤企业预算化管理，确保完成全年煤炭使用控制在5万吨以内。</w:t>
            </w:r>
          </w:p>
        </w:tc>
        <w:tc>
          <w:tcPr>
            <w:tcW w:w="2559"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市经济发展局</w:t>
            </w:r>
          </w:p>
        </w:tc>
        <w:tc>
          <w:tcPr>
            <w:tcW w:w="1323" w:type="dxa"/>
            <w:vAlign w:val="center"/>
          </w:tcPr>
          <w:p>
            <w:pPr>
              <w:pStyle w:val="2"/>
              <w:ind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pStyle w:val="2"/>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2113" w:type="dxa"/>
            <w:vMerge w:val="continue"/>
            <w:vAlign w:val="center"/>
          </w:tcPr>
          <w:p>
            <w:pPr>
              <w:pStyle w:val="2"/>
              <w:ind w:firstLine="0" w:firstLineChars="0"/>
              <w:jc w:val="center"/>
              <w:rPr>
                <w:rFonts w:ascii="仿宋_GB2312" w:hAnsi="仿宋_GB2312" w:eastAsia="仿宋_GB2312" w:cs="仿宋_GB2312"/>
                <w:sz w:val="24"/>
              </w:rPr>
            </w:pPr>
          </w:p>
        </w:tc>
        <w:tc>
          <w:tcPr>
            <w:tcW w:w="2533" w:type="dxa"/>
            <w:vAlign w:val="center"/>
          </w:tcPr>
          <w:p>
            <w:pPr>
              <w:pStyle w:val="2"/>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5</w:t>
            </w:r>
            <w:r>
              <w:rPr>
                <w:rFonts w:ascii="仿宋_GB2312" w:hAnsi="仿宋_GB2312" w:eastAsia="仿宋_GB2312" w:cs="仿宋_GB2312"/>
                <w:sz w:val="24"/>
              </w:rPr>
              <w:t>.</w:t>
            </w:r>
            <w:r>
              <w:rPr>
                <w:rFonts w:hint="eastAsia" w:ascii="仿宋_GB2312" w:hAnsi="仿宋_GB2312" w:eastAsia="仿宋_GB2312" w:cs="仿宋_GB2312"/>
                <w:sz w:val="24"/>
              </w:rPr>
              <w:t>开展专项整治</w:t>
            </w:r>
          </w:p>
        </w:tc>
        <w:tc>
          <w:tcPr>
            <w:tcW w:w="4678" w:type="dxa"/>
            <w:vAlign w:val="center"/>
          </w:tcPr>
          <w:p>
            <w:pPr>
              <w:pStyle w:val="2"/>
              <w:spacing w:line="300" w:lineRule="exact"/>
              <w:ind w:firstLine="480"/>
              <w:jc w:val="left"/>
              <w:rPr>
                <w:rFonts w:ascii="仿宋_GB2312" w:hAnsi="仿宋_GB2312" w:eastAsia="仿宋_GB2312" w:cs="仿宋_GB2312"/>
                <w:sz w:val="24"/>
              </w:rPr>
            </w:pPr>
            <w:r>
              <w:rPr>
                <w:rFonts w:hint="eastAsia" w:ascii="仿宋_GB2312" w:hAnsi="仿宋_GB2312" w:eastAsia="仿宋_GB2312" w:cs="仿宋_GB2312"/>
                <w:sz w:val="24"/>
              </w:rPr>
              <w:t>加快气流纺、塑编等行业企业违章违建和存在安全隐患的家庭作坊的排查和名单梳理，并制订整治方案。实施电雕电镀园区、化工园区、印染园区等小微园区专项整治。力争全年腾出用能空间</w:t>
            </w:r>
            <w:r>
              <w:rPr>
                <w:rFonts w:ascii="仿宋_GB2312" w:hAnsi="仿宋_GB2312" w:eastAsia="仿宋_GB2312" w:cs="仿宋_GB2312"/>
                <w:sz w:val="24"/>
              </w:rPr>
              <w:t>20</w:t>
            </w:r>
            <w:r>
              <w:rPr>
                <w:rFonts w:hint="eastAsia" w:ascii="仿宋_GB2312" w:hAnsi="仿宋_GB2312" w:eastAsia="仿宋_GB2312" w:cs="仿宋_GB2312"/>
                <w:sz w:val="24"/>
              </w:rPr>
              <w:t>000吨标准煤以上。</w:t>
            </w:r>
          </w:p>
        </w:tc>
        <w:tc>
          <w:tcPr>
            <w:tcW w:w="2559"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*市综合执法局、*市应急管理局、市经济发展局、市资规局、市消防大队</w:t>
            </w:r>
          </w:p>
        </w:tc>
        <w:tc>
          <w:tcPr>
            <w:tcW w:w="1323" w:type="dxa"/>
            <w:vAlign w:val="center"/>
          </w:tcPr>
          <w:p>
            <w:pPr>
              <w:pStyle w:val="2"/>
              <w:ind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pStyle w:val="2"/>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2113" w:type="dxa"/>
            <w:vMerge w:val="continue"/>
            <w:vAlign w:val="center"/>
          </w:tcPr>
          <w:p>
            <w:pPr>
              <w:pStyle w:val="2"/>
              <w:ind w:firstLine="0" w:firstLineChars="0"/>
              <w:jc w:val="center"/>
              <w:rPr>
                <w:rFonts w:ascii="仿宋_GB2312" w:hAnsi="仿宋_GB2312" w:eastAsia="仿宋_GB2312" w:cs="仿宋_GB2312"/>
                <w:sz w:val="24"/>
              </w:rPr>
            </w:pPr>
          </w:p>
        </w:tc>
        <w:tc>
          <w:tcPr>
            <w:tcW w:w="2533" w:type="dxa"/>
            <w:vAlign w:val="center"/>
          </w:tcPr>
          <w:p>
            <w:pPr>
              <w:pStyle w:val="2"/>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6</w:t>
            </w:r>
            <w:r>
              <w:rPr>
                <w:rFonts w:ascii="仿宋_GB2312" w:hAnsi="仿宋_GB2312" w:eastAsia="仿宋_GB2312" w:cs="仿宋_GB2312"/>
                <w:sz w:val="24"/>
              </w:rPr>
              <w:t>.</w:t>
            </w:r>
            <w:r>
              <w:rPr>
                <w:rFonts w:hint="eastAsia" w:ascii="仿宋_GB2312" w:hAnsi="仿宋_GB2312" w:eastAsia="仿宋_GB2312" w:cs="仿宋_GB2312"/>
                <w:sz w:val="24"/>
              </w:rPr>
              <w:t>实施差别化电价</w:t>
            </w:r>
          </w:p>
        </w:tc>
        <w:tc>
          <w:tcPr>
            <w:tcW w:w="4678" w:type="dxa"/>
            <w:vAlign w:val="center"/>
          </w:tcPr>
          <w:p>
            <w:pPr>
              <w:pStyle w:val="2"/>
              <w:spacing w:line="300" w:lineRule="exact"/>
              <w:ind w:firstLine="480"/>
              <w:jc w:val="left"/>
              <w:rPr>
                <w:rFonts w:ascii="仿宋_GB2312" w:hAnsi="仿宋_GB2312" w:eastAsia="仿宋_GB2312" w:cs="仿宋_GB2312"/>
                <w:sz w:val="24"/>
              </w:rPr>
            </w:pPr>
            <w:r>
              <w:rPr>
                <w:rFonts w:hint="eastAsia" w:ascii="仿宋_GB2312" w:hAnsi="仿宋_GB2312" w:eastAsia="仿宋_GB2312" w:cs="仿宋_GB2312"/>
                <w:sz w:val="24"/>
              </w:rPr>
              <w:t>对2</w:t>
            </w:r>
            <w:r>
              <w:rPr>
                <w:rFonts w:ascii="仿宋_GB2312" w:hAnsi="仿宋_GB2312" w:eastAsia="仿宋_GB2312" w:cs="仿宋_GB2312"/>
                <w:sz w:val="24"/>
              </w:rPr>
              <w:t>020</w:t>
            </w:r>
            <w:r>
              <w:rPr>
                <w:rFonts w:hint="eastAsia" w:ascii="仿宋_GB2312" w:hAnsi="仿宋_GB2312" w:eastAsia="仿宋_GB2312" w:cs="仿宋_GB2312"/>
                <w:sz w:val="24"/>
              </w:rPr>
              <w:t xml:space="preserve">年度“亩均论英雄”综合评价为D类的企业，实施差别性电价。 </w:t>
            </w:r>
          </w:p>
        </w:tc>
        <w:tc>
          <w:tcPr>
            <w:tcW w:w="2559"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*市经济发展局、市供电公司</w:t>
            </w:r>
          </w:p>
        </w:tc>
        <w:tc>
          <w:tcPr>
            <w:tcW w:w="1323" w:type="dxa"/>
            <w:vAlign w:val="center"/>
          </w:tcPr>
          <w:p>
            <w:pPr>
              <w:pStyle w:val="2"/>
              <w:ind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pStyle w:val="2"/>
              <w:ind w:firstLine="0" w:firstLineChars="0"/>
              <w:jc w:val="center"/>
              <w:rPr>
                <w:rFonts w:ascii="仿宋_GB2312" w:hAnsi="仿宋_GB2312" w:eastAsia="仿宋_GB2312" w:cs="仿宋_GB2312"/>
                <w:sz w:val="24"/>
              </w:rPr>
            </w:pPr>
            <w:r>
              <w:rPr>
                <w:rFonts w:ascii="仿宋_GB2312" w:hAnsi="仿宋_GB2312" w:eastAsia="仿宋_GB2312" w:cs="仿宋_GB2312"/>
                <w:sz w:val="24"/>
              </w:rPr>
              <w:t>7</w:t>
            </w:r>
          </w:p>
        </w:tc>
        <w:tc>
          <w:tcPr>
            <w:tcW w:w="2113"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二、公共机构领域节能行动</w:t>
            </w:r>
          </w:p>
        </w:tc>
        <w:tc>
          <w:tcPr>
            <w:tcW w:w="2533" w:type="dxa"/>
            <w:vAlign w:val="center"/>
          </w:tcPr>
          <w:p>
            <w:pPr>
              <w:pStyle w:val="2"/>
              <w:ind w:firstLine="0" w:firstLineChars="0"/>
              <w:jc w:val="left"/>
              <w:rPr>
                <w:rFonts w:ascii="仿宋_GB2312" w:hAnsi="仿宋_GB2312" w:eastAsia="仿宋_GB2312" w:cs="仿宋_GB2312"/>
                <w:sz w:val="24"/>
              </w:rPr>
            </w:pPr>
          </w:p>
        </w:tc>
        <w:tc>
          <w:tcPr>
            <w:tcW w:w="4678"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建立健全公共机构节能管理制度，全年公共机构用电量下降</w:t>
            </w:r>
            <w:r>
              <w:rPr>
                <w:rFonts w:ascii="仿宋_GB2312" w:hAnsi="仿宋_GB2312" w:eastAsia="仿宋_GB2312" w:cs="仿宋_GB2312"/>
                <w:sz w:val="24"/>
              </w:rPr>
              <w:t>20</w:t>
            </w:r>
            <w:r>
              <w:rPr>
                <w:rFonts w:hint="eastAsia" w:ascii="仿宋_GB2312" w:hAnsi="仿宋_GB2312" w:eastAsia="仿宋_GB2312" w:cs="仿宋_GB2312"/>
                <w:sz w:val="24"/>
              </w:rPr>
              <w:t>%以上。</w:t>
            </w:r>
          </w:p>
        </w:tc>
        <w:tc>
          <w:tcPr>
            <w:tcW w:w="2559"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*市机关事务管理中心、市直各有关部门</w:t>
            </w:r>
          </w:p>
        </w:tc>
        <w:tc>
          <w:tcPr>
            <w:tcW w:w="1323" w:type="dxa"/>
            <w:vAlign w:val="center"/>
          </w:tcPr>
          <w:p>
            <w:pPr>
              <w:pStyle w:val="2"/>
              <w:ind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pStyle w:val="2"/>
              <w:ind w:firstLine="0" w:firstLineChars="0"/>
              <w:jc w:val="center"/>
              <w:rPr>
                <w:rFonts w:ascii="仿宋_GB2312" w:hAnsi="仿宋_GB2312" w:eastAsia="仿宋_GB2312" w:cs="仿宋_GB2312"/>
                <w:sz w:val="24"/>
              </w:rPr>
            </w:pPr>
            <w:r>
              <w:rPr>
                <w:rFonts w:ascii="仿宋_GB2312" w:hAnsi="仿宋_GB2312" w:eastAsia="仿宋_GB2312" w:cs="仿宋_GB2312"/>
                <w:sz w:val="24"/>
              </w:rPr>
              <w:t>8</w:t>
            </w:r>
          </w:p>
        </w:tc>
        <w:tc>
          <w:tcPr>
            <w:tcW w:w="2113"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三、商业领域节能行动</w:t>
            </w:r>
          </w:p>
        </w:tc>
        <w:tc>
          <w:tcPr>
            <w:tcW w:w="2533" w:type="dxa"/>
            <w:vAlign w:val="center"/>
          </w:tcPr>
          <w:p>
            <w:pPr>
              <w:pStyle w:val="2"/>
              <w:ind w:firstLine="0" w:firstLineChars="0"/>
              <w:jc w:val="left"/>
              <w:rPr>
                <w:rFonts w:ascii="仿宋_GB2312" w:hAnsi="仿宋_GB2312" w:eastAsia="仿宋_GB2312" w:cs="仿宋_GB2312"/>
                <w:sz w:val="24"/>
              </w:rPr>
            </w:pPr>
          </w:p>
        </w:tc>
        <w:tc>
          <w:tcPr>
            <w:tcW w:w="4678"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全年服务业用电量下降</w:t>
            </w:r>
            <w:r>
              <w:rPr>
                <w:rFonts w:ascii="仿宋_GB2312" w:hAnsi="仿宋_GB2312" w:eastAsia="仿宋_GB2312" w:cs="仿宋_GB2312"/>
                <w:sz w:val="24"/>
              </w:rPr>
              <w:t>15</w:t>
            </w:r>
            <w:r>
              <w:rPr>
                <w:rFonts w:hint="eastAsia" w:ascii="仿宋_GB2312" w:hAnsi="仿宋_GB2312" w:eastAsia="仿宋_GB2312" w:cs="仿宋_GB2312"/>
                <w:sz w:val="24"/>
              </w:rPr>
              <w:t>%以上。</w:t>
            </w:r>
          </w:p>
        </w:tc>
        <w:tc>
          <w:tcPr>
            <w:tcW w:w="2559"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市经济发展局</w:t>
            </w:r>
          </w:p>
        </w:tc>
        <w:tc>
          <w:tcPr>
            <w:tcW w:w="1323" w:type="dxa"/>
            <w:vAlign w:val="center"/>
          </w:tcPr>
          <w:p>
            <w:pPr>
              <w:pStyle w:val="2"/>
              <w:ind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pStyle w:val="2"/>
              <w:ind w:firstLine="0" w:firstLineChars="0"/>
              <w:jc w:val="center"/>
              <w:rPr>
                <w:rFonts w:ascii="仿宋_GB2312" w:hAnsi="仿宋_GB2312" w:eastAsia="仿宋_GB2312" w:cs="仿宋_GB2312"/>
                <w:sz w:val="24"/>
              </w:rPr>
            </w:pPr>
            <w:r>
              <w:rPr>
                <w:rFonts w:ascii="仿宋_GB2312" w:hAnsi="仿宋_GB2312" w:eastAsia="仿宋_GB2312" w:cs="仿宋_GB2312"/>
                <w:sz w:val="24"/>
              </w:rPr>
              <w:t>9</w:t>
            </w:r>
          </w:p>
        </w:tc>
        <w:tc>
          <w:tcPr>
            <w:tcW w:w="2113"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四、建筑领域节能行动</w:t>
            </w:r>
          </w:p>
        </w:tc>
        <w:tc>
          <w:tcPr>
            <w:tcW w:w="2533" w:type="dxa"/>
            <w:vAlign w:val="center"/>
          </w:tcPr>
          <w:p>
            <w:pPr>
              <w:pStyle w:val="2"/>
              <w:ind w:firstLine="0" w:firstLineChars="0"/>
              <w:jc w:val="left"/>
              <w:rPr>
                <w:rFonts w:ascii="仿宋_GB2312" w:hAnsi="仿宋_GB2312" w:eastAsia="仿宋_GB2312" w:cs="仿宋_GB2312"/>
                <w:sz w:val="24"/>
              </w:rPr>
            </w:pPr>
          </w:p>
        </w:tc>
        <w:tc>
          <w:tcPr>
            <w:tcW w:w="4678"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关闭主要干道沿线以及住宅小区外墙亮化照明，减少道路照明时间和密度，全年建筑业用电量下降</w:t>
            </w:r>
            <w:r>
              <w:rPr>
                <w:rFonts w:ascii="仿宋_GB2312" w:hAnsi="仿宋_GB2312" w:eastAsia="仿宋_GB2312" w:cs="仿宋_GB2312"/>
                <w:sz w:val="24"/>
              </w:rPr>
              <w:t>10</w:t>
            </w:r>
            <w:r>
              <w:rPr>
                <w:rFonts w:hint="eastAsia" w:ascii="仿宋_GB2312" w:hAnsi="仿宋_GB2312" w:eastAsia="仿宋_GB2312" w:cs="仿宋_GB2312"/>
                <w:sz w:val="24"/>
              </w:rPr>
              <w:t>%以上。</w:t>
            </w:r>
          </w:p>
        </w:tc>
        <w:tc>
          <w:tcPr>
            <w:tcW w:w="2559"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*市资规局、*市综合执法局</w:t>
            </w:r>
          </w:p>
        </w:tc>
        <w:tc>
          <w:tcPr>
            <w:tcW w:w="1323" w:type="dxa"/>
            <w:vAlign w:val="center"/>
          </w:tcPr>
          <w:p>
            <w:pPr>
              <w:pStyle w:val="2"/>
              <w:ind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pStyle w:val="2"/>
              <w:ind w:firstLine="0" w:firstLineChars="0"/>
              <w:jc w:val="center"/>
              <w:rPr>
                <w:rFonts w:ascii="仿宋_GB2312" w:hAnsi="仿宋_GB2312" w:eastAsia="仿宋_GB2312" w:cs="仿宋_GB2312"/>
                <w:sz w:val="24"/>
              </w:rPr>
            </w:pPr>
            <w:r>
              <w:rPr>
                <w:rFonts w:ascii="仿宋_GB2312" w:hAnsi="仿宋_GB2312" w:eastAsia="仿宋_GB2312" w:cs="仿宋_GB2312"/>
                <w:sz w:val="24"/>
              </w:rPr>
              <w:t>10</w:t>
            </w:r>
          </w:p>
        </w:tc>
        <w:tc>
          <w:tcPr>
            <w:tcW w:w="2113"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五、加强节能宣传行动</w:t>
            </w:r>
          </w:p>
        </w:tc>
        <w:tc>
          <w:tcPr>
            <w:tcW w:w="2533" w:type="dxa"/>
            <w:vAlign w:val="center"/>
          </w:tcPr>
          <w:p>
            <w:pPr>
              <w:pStyle w:val="2"/>
              <w:spacing w:line="300" w:lineRule="exact"/>
              <w:ind w:firstLine="0" w:firstLineChars="0"/>
              <w:jc w:val="left"/>
              <w:rPr>
                <w:rFonts w:ascii="仿宋_GB2312" w:hAnsi="仿宋_GB2312" w:eastAsia="仿宋_GB2312" w:cs="仿宋_GB2312"/>
                <w:sz w:val="24"/>
              </w:rPr>
            </w:pPr>
          </w:p>
        </w:tc>
        <w:tc>
          <w:tcPr>
            <w:tcW w:w="4678"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积极开展节能有关宣传活动，做好舆论管控，形成良好氛围。</w:t>
            </w:r>
          </w:p>
        </w:tc>
        <w:tc>
          <w:tcPr>
            <w:tcW w:w="2559" w:type="dxa"/>
            <w:vAlign w:val="center"/>
          </w:tcPr>
          <w:p>
            <w:pPr>
              <w:pStyle w:val="2"/>
              <w:spacing w:line="300" w:lineRule="exact"/>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市宣传统战部</w:t>
            </w:r>
          </w:p>
        </w:tc>
        <w:tc>
          <w:tcPr>
            <w:tcW w:w="1323" w:type="dxa"/>
            <w:vAlign w:val="center"/>
          </w:tcPr>
          <w:p>
            <w:pPr>
              <w:pStyle w:val="2"/>
              <w:spacing w:line="300" w:lineRule="exact"/>
              <w:ind w:firstLine="0" w:firstLineChars="0"/>
              <w:jc w:val="left"/>
              <w:rPr>
                <w:rFonts w:ascii="仿宋_GB2312" w:hAnsi="仿宋_GB2312" w:eastAsia="仿宋_GB2312" w:cs="仿宋_GB2312"/>
                <w:sz w:val="24"/>
              </w:rPr>
            </w:pPr>
          </w:p>
        </w:tc>
      </w:tr>
    </w:tbl>
    <w:p>
      <w:pPr>
        <w:pStyle w:val="2"/>
        <w:ind w:firstLine="0" w:firstLineChars="0"/>
        <w:jc w:val="center"/>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ind w:firstLine="0" w:firstLineChars="0"/>
        <w:jc w:val="left"/>
        <w:rPr>
          <w:rFonts w:ascii="仿宋_GB2312" w:hAnsi="仿宋_GB2312" w:eastAsia="仿宋_GB2312" w:cs="仿宋_GB2312"/>
          <w:sz w:val="32"/>
          <w:szCs w:val="32"/>
        </w:rPr>
        <w:sectPr>
          <w:pgSz w:w="16838" w:h="11906" w:orient="landscape"/>
          <w:pgMar w:top="1531" w:right="1440" w:bottom="1474" w:left="1701" w:header="851" w:footer="1588" w:gutter="0"/>
          <w:pgNumType w:fmt="numberInDash"/>
          <w:cols w:space="425" w:num="1"/>
          <w:docGrid w:type="lines" w:linePitch="579" w:charSpace="-1024"/>
        </w:sectPr>
      </w:pPr>
    </w:p>
    <w:p>
      <w:pPr>
        <w:pStyle w:val="2"/>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p>
    <w:p>
      <w:pPr>
        <w:pStyle w:val="2"/>
        <w:ind w:left="1600" w:leftChars="200" w:hanging="1188" w:hangingChars="300"/>
        <w:jc w:val="center"/>
        <w:rPr>
          <w:rFonts w:ascii="仿宋_GB2312" w:hAnsi="仿宋_GB2312" w:eastAsia="仿宋_GB2312" w:cs="仿宋_GB2312"/>
          <w:b/>
          <w:bCs/>
          <w:sz w:val="40"/>
          <w:szCs w:val="40"/>
        </w:rPr>
      </w:pPr>
      <w:r>
        <w:rPr>
          <w:rFonts w:hint="eastAsia" w:ascii="仿宋_GB2312" w:hAnsi="仿宋_GB2312" w:eastAsia="仿宋_GB2312" w:cs="仿宋_GB2312"/>
          <w:b/>
          <w:bCs/>
          <w:sz w:val="40"/>
          <w:szCs w:val="40"/>
        </w:rPr>
        <w:t>关于进一步规范节能审查和用电报装工作的</w:t>
      </w:r>
    </w:p>
    <w:p>
      <w:pPr>
        <w:pStyle w:val="2"/>
        <w:ind w:left="1600" w:leftChars="200" w:hanging="1188" w:hangingChars="300"/>
        <w:jc w:val="center"/>
        <w:rPr>
          <w:rFonts w:ascii="仿宋_GB2312" w:hAnsi="仿宋_GB2312" w:eastAsia="仿宋_GB2312" w:cs="仿宋_GB2312"/>
          <w:b/>
          <w:bCs/>
          <w:sz w:val="40"/>
          <w:szCs w:val="40"/>
        </w:rPr>
      </w:pPr>
      <w:r>
        <w:rPr>
          <w:rFonts w:hint="eastAsia" w:ascii="仿宋_GB2312" w:hAnsi="仿宋_GB2312" w:eastAsia="仿宋_GB2312" w:cs="仿宋_GB2312"/>
          <w:b/>
          <w:bCs/>
          <w:sz w:val="40"/>
          <w:szCs w:val="40"/>
        </w:rPr>
        <w:t>实施意见</w:t>
      </w:r>
    </w:p>
    <w:p>
      <w:pPr>
        <w:ind w:firstLine="632" w:firstLineChars="200"/>
        <w:rPr>
          <w:rFonts w:ascii="仿宋_GB2312" w:hAnsi="仿宋" w:eastAsia="仿宋_GB2312"/>
          <w:sz w:val="32"/>
          <w:szCs w:val="32"/>
        </w:rPr>
      </w:pPr>
      <w:r>
        <w:rPr>
          <w:rFonts w:hint="eastAsia" w:ascii="仿宋_GB2312" w:hAnsi="仿宋" w:eastAsia="仿宋_GB2312"/>
          <w:sz w:val="32"/>
          <w:szCs w:val="32"/>
        </w:rPr>
        <w:t>根据《关于印发温州市优化营商环境用电报装便利化行动方案的通知》（温发改能源</w:t>
      </w:r>
      <w:r>
        <w:rPr>
          <w:rFonts w:hint="eastAsia" w:ascii="仿宋_GB2312" w:hAnsi="Times New Roman" w:eastAsia="仿宋_GB2312"/>
          <w:sz w:val="32"/>
          <w:szCs w:val="32"/>
        </w:rPr>
        <w:t>〔2019〕</w:t>
      </w:r>
      <w:r>
        <w:rPr>
          <w:rFonts w:hint="eastAsia" w:ascii="仿宋_GB2312" w:hAnsi="仿宋" w:eastAsia="仿宋_GB2312"/>
          <w:sz w:val="32"/>
          <w:szCs w:val="32"/>
        </w:rPr>
        <w:t>180号）、《省发展改革委关于印发&lt;浙江省节能审查办法&gt;的通知》(浙发改能源〔2019〕532 号)和《关于加强固定资产投资项目节能审查工作的通知》（温发改能源〔2019〕112号）文件精神，为加强我市能源预算化管理，建立健全用能准入机制，严把“两高”项目准入关口，推进资源节约高效利用，优化营商环境，结合龙港实际，特制定本方案。</w:t>
      </w:r>
    </w:p>
    <w:p>
      <w:pPr>
        <w:pStyle w:val="2"/>
        <w:ind w:firstLine="630"/>
        <w:rPr>
          <w:rFonts w:ascii="黑体" w:hAnsi="黑体" w:eastAsia="黑体"/>
          <w:sz w:val="32"/>
          <w:szCs w:val="32"/>
        </w:rPr>
      </w:pPr>
      <w:r>
        <w:rPr>
          <w:rFonts w:hint="eastAsia" w:ascii="黑体" w:hAnsi="黑体" w:eastAsia="黑体"/>
          <w:sz w:val="32"/>
          <w:szCs w:val="32"/>
        </w:rPr>
        <w:t>一、加强新增项目能耗控制</w:t>
      </w:r>
    </w:p>
    <w:p>
      <w:pPr>
        <w:pStyle w:val="2"/>
        <w:ind w:firstLine="630"/>
        <w:rPr>
          <w:rFonts w:ascii="仿宋_GB2312" w:eastAsia="仿宋_GB2312"/>
          <w:sz w:val="32"/>
          <w:szCs w:val="32"/>
        </w:rPr>
      </w:pPr>
      <w:r>
        <w:rPr>
          <w:rFonts w:hint="eastAsia" w:ascii="仿宋_GB2312" w:eastAsia="仿宋_GB2312"/>
          <w:sz w:val="32"/>
          <w:szCs w:val="32"/>
        </w:rPr>
        <w:t>谋划产业引进项目时，坚持能耗“双控”约束在前，坚决遏制“两高”项目的盲目发展和低水平重复建设，从严控制存量“两高”企业新增产能。项目招引时单位工业增加值能耗原则上控制在0.49吨标准煤/万元以下，项目落地前必须编制好节能评估审查报告并提交节能主管部门预审，</w:t>
      </w:r>
      <w:r>
        <w:rPr>
          <w:rFonts w:hint="eastAsia" w:ascii="仿宋_GB2312" w:hAnsi="仿宋_GB2312" w:eastAsia="仿宋_GB2312" w:cs="仿宋_GB2312"/>
          <w:sz w:val="32"/>
          <w:szCs w:val="32"/>
        </w:rPr>
        <w:t>办理项目施工许可证前必须已通过项目节能审查意见审批</w:t>
      </w:r>
      <w:r>
        <w:rPr>
          <w:rFonts w:hint="eastAsia" w:ascii="仿宋_GB2312" w:eastAsia="仿宋_GB2312"/>
          <w:sz w:val="32"/>
          <w:szCs w:val="32"/>
        </w:rPr>
        <w:t>。</w:t>
      </w:r>
      <w:r>
        <w:rPr>
          <w:rFonts w:hint="eastAsia" w:ascii="楷体_GB2312" w:eastAsia="楷体_GB2312"/>
          <w:sz w:val="32"/>
          <w:szCs w:val="32"/>
        </w:rPr>
        <w:t>（牵头单位：市投促中心；配合单位：市经济发展局、市行政审批局）</w:t>
      </w:r>
    </w:p>
    <w:p>
      <w:pPr>
        <w:pStyle w:val="2"/>
        <w:ind w:firstLine="630"/>
        <w:rPr>
          <w:rFonts w:ascii="黑体" w:hAnsi="黑体" w:eastAsia="黑体"/>
          <w:sz w:val="32"/>
          <w:szCs w:val="32"/>
        </w:rPr>
      </w:pPr>
      <w:r>
        <w:rPr>
          <w:rFonts w:hint="eastAsia" w:ascii="黑体" w:hAnsi="黑体" w:eastAsia="黑体"/>
          <w:sz w:val="32"/>
          <w:szCs w:val="32"/>
        </w:rPr>
        <w:t>二、严格落实节能评估制度</w:t>
      </w:r>
    </w:p>
    <w:p>
      <w:pPr>
        <w:pStyle w:val="2"/>
        <w:ind w:firstLine="630"/>
        <w:rPr>
          <w:rFonts w:ascii="仿宋_GB2312" w:eastAsia="仿宋_GB2312"/>
          <w:sz w:val="32"/>
          <w:szCs w:val="32"/>
        </w:rPr>
      </w:pPr>
      <w:r>
        <w:rPr>
          <w:rFonts w:hint="eastAsia" w:ascii="仿宋_GB2312" w:eastAsia="仿宋_GB2312"/>
          <w:sz w:val="32"/>
          <w:szCs w:val="32"/>
        </w:rPr>
        <w:t>严格执行项目节能评估审查制度。一是实行分类管理。年综合能源消费量不满1000吨标准煤的项目（不包括“两高”项目），应当按照相关节能标准、规范建设，不单独进行节能审查，填写《固定资产投资项目节能承诺备案表》（附件</w:t>
      </w:r>
      <w:r>
        <w:rPr>
          <w:rFonts w:ascii="仿宋_GB2312" w:eastAsia="仿宋_GB2312"/>
          <w:sz w:val="32"/>
          <w:szCs w:val="32"/>
        </w:rPr>
        <w:t>3-</w:t>
      </w:r>
      <w:r>
        <w:rPr>
          <w:rFonts w:hint="eastAsia" w:ascii="仿宋_GB2312" w:eastAsia="仿宋_GB2312"/>
          <w:sz w:val="32"/>
          <w:szCs w:val="32"/>
        </w:rPr>
        <w:t>1）进行报备即可。“两高”项目或年综合能源消费量1000吨标准煤以上的固定资产投资项目，应单独进行节能审查。其中，项目单位工业增加值能耗高于浙江省或温州市单位工业增加值能耗控制目标的，应当通过用能权交易方式取得用能指标。</w:t>
      </w:r>
      <w:r>
        <w:rPr>
          <w:rFonts w:hint="eastAsia" w:ascii="楷体_GB2312" w:eastAsia="楷体_GB2312"/>
          <w:sz w:val="32"/>
          <w:szCs w:val="32"/>
        </w:rPr>
        <w:t>（牵头单位：市行政审批局；配合单位：市经济发展局）</w:t>
      </w:r>
    </w:p>
    <w:p>
      <w:pPr>
        <w:pStyle w:val="2"/>
        <w:ind w:firstLine="630"/>
        <w:rPr>
          <w:rFonts w:ascii="黑体" w:hAnsi="黑体" w:eastAsia="黑体"/>
          <w:sz w:val="32"/>
          <w:szCs w:val="32"/>
        </w:rPr>
      </w:pPr>
      <w:r>
        <w:rPr>
          <w:rFonts w:hint="eastAsia" w:ascii="黑体" w:hAnsi="黑体" w:eastAsia="黑体"/>
          <w:sz w:val="32"/>
          <w:szCs w:val="32"/>
        </w:rPr>
        <w:t>三、优化用能审批环节时限</w:t>
      </w:r>
    </w:p>
    <w:p>
      <w:pPr>
        <w:pStyle w:val="2"/>
        <w:ind w:firstLine="630"/>
        <w:rPr>
          <w:rFonts w:ascii="楷体_GB2312" w:eastAsia="楷体_GB2312"/>
          <w:sz w:val="32"/>
          <w:szCs w:val="32"/>
        </w:rPr>
      </w:pPr>
      <w:r>
        <w:rPr>
          <w:rFonts w:hint="eastAsia" w:ascii="仿宋_GB2312" w:eastAsia="仿宋_GB2312"/>
          <w:sz w:val="32"/>
          <w:szCs w:val="32"/>
        </w:rPr>
        <w:t>加强节能报告审核，受理前对报告质量进行严格把关；规范审查流程，受理节能报告后全部进行委托评审；提高审查效率，压缩评审与办理两个时限；及时整理归档，做好节能审查档案（纸质、电子）管理工作。</w:t>
      </w:r>
      <w:bookmarkStart w:id="5" w:name="_Hlk82077880"/>
      <w:r>
        <w:rPr>
          <w:rFonts w:hint="eastAsia" w:ascii="仿宋_GB2312" w:eastAsia="仿宋_GB2312"/>
          <w:sz w:val="32"/>
          <w:szCs w:val="32"/>
        </w:rPr>
        <w:t>争取实现审批、核准、备案项目能源消费确认全覆盖，</w:t>
      </w:r>
      <w:bookmarkEnd w:id="5"/>
      <w:r>
        <w:rPr>
          <w:rFonts w:hint="eastAsia" w:ascii="仿宋_GB2312" w:eastAsia="仿宋_GB2312"/>
          <w:sz w:val="32"/>
          <w:szCs w:val="32"/>
        </w:rPr>
        <w:t>严格执行政府投资项目可行性研究报告节能专篇、企业投资项目申请报告“资源开发及综合利用分析”章节、企业投资项目备案信息“建设规模及内容”部分要体现项目能源消费情况。</w:t>
      </w:r>
      <w:r>
        <w:rPr>
          <w:rFonts w:hint="eastAsia" w:ascii="楷体_GB2312" w:eastAsia="楷体_GB2312"/>
          <w:sz w:val="32"/>
          <w:szCs w:val="32"/>
        </w:rPr>
        <w:t>（牵头单位：市行政审批局；配合单位：市经济发展局）</w:t>
      </w:r>
    </w:p>
    <w:p>
      <w:pPr>
        <w:pStyle w:val="2"/>
        <w:ind w:firstLine="630"/>
        <w:rPr>
          <w:rFonts w:ascii="黑体" w:hAnsi="黑体" w:eastAsia="黑体"/>
          <w:sz w:val="32"/>
          <w:szCs w:val="32"/>
        </w:rPr>
      </w:pPr>
      <w:r>
        <w:rPr>
          <w:rFonts w:hint="eastAsia" w:ascii="黑体" w:hAnsi="黑体" w:eastAsia="黑体"/>
          <w:sz w:val="32"/>
          <w:szCs w:val="32"/>
        </w:rPr>
        <w:t>四、加强用电报装沟通协调</w:t>
      </w:r>
    </w:p>
    <w:p>
      <w:pPr>
        <w:pStyle w:val="2"/>
        <w:ind w:firstLine="630"/>
        <w:rPr>
          <w:rFonts w:ascii="仿宋_GB2312" w:eastAsia="仿宋_GB2312"/>
          <w:sz w:val="32"/>
          <w:szCs w:val="32"/>
        </w:rPr>
      </w:pPr>
      <w:r>
        <w:rPr>
          <w:rFonts w:hint="eastAsia" w:ascii="仿宋_GB2312" w:hAnsi="仿宋_GB2312" w:eastAsia="仿宋_GB2312" w:cs="仿宋_GB2312"/>
          <w:sz w:val="32"/>
          <w:szCs w:val="32"/>
        </w:rPr>
        <w:t>实行负面清单管理，</w:t>
      </w:r>
      <w:bookmarkStart w:id="6" w:name="_Hlk82077937"/>
      <w:r>
        <w:rPr>
          <w:rFonts w:hint="eastAsia" w:ascii="仿宋_GB2312" w:hAnsi="仿宋_GB2312" w:eastAsia="仿宋_GB2312" w:cs="仿宋_GB2312"/>
          <w:sz w:val="32"/>
          <w:szCs w:val="32"/>
        </w:rPr>
        <w:t>负面清单（见附件</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）外工业项目专变报装或增容时必须征询市经济发展局意见，负面清单内工业项目专变报装或增容时必须先取得节能审查意见或相关审批意见。</w:t>
      </w:r>
      <w:bookmarkEnd w:id="6"/>
      <w:r>
        <w:rPr>
          <w:rFonts w:hint="eastAsia" w:ascii="仿宋_GB2312" w:hAnsi="仿宋_GB2312" w:eastAsia="仿宋_GB2312" w:cs="仿宋_GB2312"/>
          <w:sz w:val="32"/>
          <w:szCs w:val="32"/>
        </w:rPr>
        <w:t>充分发挥市能源融合管理办公室作用，及时协调处置报装过程出现的问题。发现申请人承诺不实的，应当责令申请人限期整改，或者依法对其实施停止供电;申请人因承诺不实而取得的利益不受保护，由此造成的损失由申请人承担，同时对供电部门和经办人员不作负面评价，不追究相关责任。用电报装已受理未送电的项目，未审批通过的暂不予送电。</w:t>
      </w:r>
      <w:r>
        <w:rPr>
          <w:rFonts w:hint="eastAsia" w:ascii="楷体_GB2312" w:eastAsia="楷体_GB2312"/>
          <w:sz w:val="32"/>
          <w:szCs w:val="32"/>
        </w:rPr>
        <w:t>（牵头单位：市经济发展局；配合单位：市行政审批局、市供电公司）</w:t>
      </w:r>
    </w:p>
    <w:p>
      <w:pPr>
        <w:pStyle w:val="2"/>
        <w:ind w:firstLine="630"/>
        <w:rPr>
          <w:rFonts w:ascii="黑体" w:hAnsi="黑体" w:eastAsia="黑体"/>
          <w:sz w:val="32"/>
          <w:szCs w:val="32"/>
        </w:rPr>
      </w:pPr>
      <w:r>
        <w:rPr>
          <w:rFonts w:hint="eastAsia" w:ascii="黑体" w:hAnsi="黑体" w:eastAsia="黑体"/>
          <w:sz w:val="32"/>
          <w:szCs w:val="32"/>
        </w:rPr>
        <w:t>五、加强项目事中事后监管</w:t>
      </w:r>
    </w:p>
    <w:p>
      <w:pPr>
        <w:pStyle w:val="2"/>
        <w:ind w:firstLine="630"/>
        <w:rPr>
          <w:rFonts w:ascii="仿宋_GB2312" w:eastAsia="仿宋_GB2312"/>
          <w:sz w:val="32"/>
          <w:szCs w:val="32"/>
        </w:rPr>
      </w:pPr>
      <w:r>
        <w:rPr>
          <w:rFonts w:hint="eastAsia" w:ascii="仿宋_GB2312" w:eastAsia="仿宋_GB2312"/>
          <w:sz w:val="32"/>
          <w:szCs w:val="32"/>
        </w:rPr>
        <w:t>对项目的节能验收情况和节能审查意见落实情况进行监督检查，对重大项目节能审查意见落实情况进行不定期抽查，项目投产后按要求向节能主管部门报送项目验收情况。将当年完成节能验收的项目列入下一年节能监察计划，重点核查能源消费总量、能效水平以及节能措施等落实情况。项目能源消费总量不得突破节能审查阶段确定的项目年综合能源消费量。充分利用节能信用监管机制，对符合失信情形的企业进行失信认定并进行公告。</w:t>
      </w:r>
      <w:r>
        <w:rPr>
          <w:rFonts w:hint="eastAsia" w:ascii="楷体_GB2312" w:eastAsia="楷体_GB2312"/>
          <w:sz w:val="32"/>
          <w:szCs w:val="32"/>
        </w:rPr>
        <w:t>（牵头单位：市经济发展局；配合单位：市行政审批局）</w:t>
      </w:r>
    </w:p>
    <w:p>
      <w:pPr>
        <w:pStyle w:val="2"/>
        <w:ind w:firstLine="630"/>
        <w:rPr>
          <w:rFonts w:ascii="黑体" w:hAnsi="黑体" w:eastAsia="黑体"/>
          <w:sz w:val="32"/>
          <w:szCs w:val="32"/>
        </w:rPr>
      </w:pPr>
      <w:r>
        <w:rPr>
          <w:rFonts w:hint="eastAsia" w:ascii="黑体" w:hAnsi="黑体" w:eastAsia="黑体"/>
          <w:sz w:val="32"/>
          <w:szCs w:val="32"/>
        </w:rPr>
        <w:t>六、规范企业用电登记管理</w:t>
      </w:r>
    </w:p>
    <w:p>
      <w:pPr>
        <w:pStyle w:val="2"/>
        <w:ind w:firstLine="630"/>
        <w:rPr>
          <w:rFonts w:ascii="仿宋_GB2312" w:eastAsia="仿宋_GB2312"/>
          <w:sz w:val="32"/>
          <w:szCs w:val="32"/>
        </w:rPr>
      </w:pPr>
      <w:r>
        <w:rPr>
          <w:rFonts w:hint="eastAsia" w:ascii="仿宋_GB2312" w:eastAsia="仿宋_GB2312"/>
          <w:sz w:val="32"/>
          <w:szCs w:val="32"/>
        </w:rPr>
        <w:t>目前在用且登记在自然人名下的专变，供电合同到期前必须过户或更名到企业名下，到期未过户或更名的，合同到期后不得续签并停止供电。按照“谁使用谁报装”的原则，不允许报装后出租，如因变压器使用安全等方面考虑确需共用的，每个使用方都应申请独立用电户号。专变过户（除因工商登记变更的更名外）视同新报装。</w:t>
      </w:r>
      <w:r>
        <w:rPr>
          <w:rFonts w:hint="eastAsia" w:ascii="楷体_GB2312" w:eastAsia="楷体_GB2312"/>
          <w:sz w:val="32"/>
          <w:szCs w:val="32"/>
        </w:rPr>
        <w:t>（牵头单位：市供电公司）</w:t>
      </w:r>
    </w:p>
    <w:p>
      <w:pPr>
        <w:pStyle w:val="2"/>
        <w:ind w:firstLine="630"/>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3-</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固定资产投资项目节能承诺备案表</w:t>
      </w:r>
    </w:p>
    <w:p>
      <w:pPr>
        <w:pStyle w:val="2"/>
        <w:ind w:firstLine="63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3-2.</w:t>
      </w:r>
      <w:r>
        <w:rPr>
          <w:rFonts w:hint="eastAsia" w:ascii="仿宋_GB2312" w:eastAsia="仿宋_GB2312"/>
          <w:sz w:val="32"/>
          <w:szCs w:val="32"/>
        </w:rPr>
        <w:t>龙港市用能（用电）项目负面清单</w:t>
      </w:r>
    </w:p>
    <w:p>
      <w:pPr>
        <w:pStyle w:val="2"/>
        <w:ind w:firstLine="0" w:firstLineChars="0"/>
        <w:jc w:val="left"/>
        <w:rPr>
          <w:rFonts w:ascii="仿宋_GB2312" w:eastAsia="仿宋_GB2312"/>
          <w:sz w:val="32"/>
          <w:szCs w:val="32"/>
        </w:rPr>
      </w:pPr>
    </w:p>
    <w:p>
      <w:pPr>
        <w:pStyle w:val="2"/>
        <w:ind w:firstLine="0" w:firstLineChars="0"/>
        <w:jc w:val="left"/>
        <w:rPr>
          <w:rFonts w:ascii="仿宋_GB2312" w:eastAsia="仿宋_GB2312"/>
          <w:sz w:val="32"/>
          <w:szCs w:val="32"/>
        </w:rPr>
      </w:pPr>
    </w:p>
    <w:p>
      <w:pPr>
        <w:pStyle w:val="2"/>
        <w:ind w:firstLine="0" w:firstLineChars="0"/>
        <w:jc w:val="left"/>
        <w:rPr>
          <w:rFonts w:ascii="仿宋_GB2312" w:eastAsia="仿宋_GB2312"/>
          <w:sz w:val="32"/>
          <w:szCs w:val="32"/>
        </w:rPr>
      </w:pPr>
    </w:p>
    <w:p>
      <w:pPr>
        <w:pStyle w:val="2"/>
        <w:ind w:firstLine="0" w:firstLineChars="0"/>
        <w:jc w:val="lef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3-</w:t>
      </w:r>
      <w:r>
        <w:rPr>
          <w:rFonts w:hint="eastAsia" w:ascii="仿宋_GB2312" w:eastAsia="仿宋_GB2312"/>
          <w:sz w:val="32"/>
          <w:szCs w:val="32"/>
        </w:rPr>
        <w:t>1</w:t>
      </w:r>
    </w:p>
    <w:p>
      <w:pPr>
        <w:jc w:val="center"/>
        <w:rPr>
          <w:rFonts w:ascii="方正小标宋简体" w:hAnsi="方正小标宋简体" w:eastAsia="方正小标宋简体"/>
          <w:sz w:val="36"/>
          <w:szCs w:val="21"/>
        </w:rPr>
      </w:pPr>
      <w:bookmarkStart w:id="7" w:name="_Hlk81830914"/>
      <w:r>
        <w:rPr>
          <w:rFonts w:hint="eastAsia" w:ascii="方正小标宋简体" w:hAnsi="方正小标宋简体" w:eastAsia="方正小标宋简体"/>
          <w:sz w:val="36"/>
          <w:szCs w:val="21"/>
        </w:rPr>
        <w:t>固定资产投资项目节能承诺备案表</w:t>
      </w:r>
      <w:bookmarkEnd w:id="7"/>
    </w:p>
    <w:p>
      <w:pPr>
        <w:rPr>
          <w:rFonts w:ascii="仿宋_GB2312" w:hAnsi="仿宋_GB2312"/>
          <w:sz w:val="24"/>
        </w:rPr>
      </w:pPr>
      <w:r>
        <w:rPr>
          <w:rFonts w:hint="eastAsia" w:ascii="仿宋_GB2312" w:hAnsi="仿宋_GB2312"/>
          <w:sz w:val="24"/>
        </w:rPr>
        <w:t>项目名称：                               填表日期：       年   月   日</w:t>
      </w:r>
    </w:p>
    <w:tbl>
      <w:tblPr>
        <w:tblStyle w:val="5"/>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525"/>
        <w:gridCol w:w="1538"/>
        <w:gridCol w:w="135"/>
        <w:gridCol w:w="949"/>
        <w:gridCol w:w="1625"/>
        <w:gridCol w:w="77"/>
        <w:gridCol w:w="331"/>
        <w:gridCol w:w="1370"/>
        <w:gridCol w:w="389"/>
        <w:gridCol w:w="206"/>
        <w:gridCol w:w="191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25"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项目概况</w:t>
            </w:r>
          </w:p>
        </w:tc>
        <w:tc>
          <w:tcPr>
            <w:tcW w:w="1673"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项目建设单位</w:t>
            </w:r>
          </w:p>
        </w:tc>
        <w:tc>
          <w:tcPr>
            <w:tcW w:w="2981" w:type="dxa"/>
            <w:gridSpan w:val="4"/>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right"/>
              <w:rPr>
                <w:sz w:val="24"/>
              </w:rPr>
            </w:pPr>
            <w:r>
              <w:rPr>
                <w:sz w:val="24"/>
              </w:rPr>
              <w:t>(</w:t>
            </w:r>
            <w:r>
              <w:rPr>
                <w:rFonts w:hint="eastAsia"/>
                <w:sz w:val="24"/>
              </w:rPr>
              <w:t>盖章</w:t>
            </w:r>
            <w:r>
              <w:rPr>
                <w:sz w:val="24"/>
              </w:rPr>
              <w:t>)</w:t>
            </w:r>
          </w:p>
        </w:tc>
        <w:tc>
          <w:tcPr>
            <w:tcW w:w="1965"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单位法定代表人</w:t>
            </w:r>
          </w:p>
        </w:tc>
        <w:tc>
          <w:tcPr>
            <w:tcW w:w="1917"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4" w:hRule="atLeast"/>
        </w:trPr>
        <w:tc>
          <w:tcPr>
            <w:tcW w:w="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sz w:val="24"/>
              </w:rPr>
            </w:pPr>
          </w:p>
        </w:tc>
        <w:tc>
          <w:tcPr>
            <w:tcW w:w="1673"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建设地点</w:t>
            </w:r>
          </w:p>
        </w:tc>
        <w:tc>
          <w:tcPr>
            <w:tcW w:w="2981" w:type="dxa"/>
            <w:gridSpan w:val="4"/>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1965"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法定代表人电话</w:t>
            </w:r>
          </w:p>
        </w:tc>
        <w:tc>
          <w:tcPr>
            <w:tcW w:w="1917"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4" w:hRule="atLeast"/>
        </w:trPr>
        <w:tc>
          <w:tcPr>
            <w:tcW w:w="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sz w:val="24"/>
              </w:rPr>
            </w:pPr>
          </w:p>
        </w:tc>
        <w:tc>
          <w:tcPr>
            <w:tcW w:w="1673"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联系人</w:t>
            </w:r>
          </w:p>
        </w:tc>
        <w:tc>
          <w:tcPr>
            <w:tcW w:w="2981" w:type="dxa"/>
            <w:gridSpan w:val="4"/>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1965"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联系人电话</w:t>
            </w:r>
          </w:p>
        </w:tc>
        <w:tc>
          <w:tcPr>
            <w:tcW w:w="1917"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9" w:hRule="atLeast"/>
        </w:trPr>
        <w:tc>
          <w:tcPr>
            <w:tcW w:w="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sz w:val="24"/>
              </w:rPr>
            </w:pPr>
          </w:p>
        </w:tc>
        <w:tc>
          <w:tcPr>
            <w:tcW w:w="1673"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项目性质</w:t>
            </w:r>
          </w:p>
        </w:tc>
        <w:tc>
          <w:tcPr>
            <w:tcW w:w="2981" w:type="dxa"/>
            <w:gridSpan w:val="4"/>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新建</w:t>
            </w:r>
            <w:r>
              <w:rPr>
                <w:sz w:val="30"/>
              </w:rPr>
              <w:t>□</w:t>
            </w:r>
            <w:r>
              <w:rPr>
                <w:sz w:val="24"/>
              </w:rPr>
              <w:t xml:space="preserve">   </w:t>
            </w:r>
            <w:r>
              <w:rPr>
                <w:rFonts w:hint="eastAsia"/>
                <w:sz w:val="24"/>
              </w:rPr>
              <w:t>改建</w:t>
            </w:r>
            <w:r>
              <w:rPr>
                <w:sz w:val="30"/>
              </w:rPr>
              <w:t>□</w:t>
            </w:r>
            <w:r>
              <w:rPr>
                <w:sz w:val="24"/>
              </w:rPr>
              <w:t xml:space="preserve">   </w:t>
            </w:r>
            <w:r>
              <w:rPr>
                <w:rFonts w:hint="eastAsia"/>
                <w:sz w:val="24"/>
              </w:rPr>
              <w:t>扩建</w:t>
            </w:r>
            <w:r>
              <w:rPr>
                <w:sz w:val="30"/>
              </w:rPr>
              <w:t>□</w:t>
            </w:r>
          </w:p>
        </w:tc>
        <w:tc>
          <w:tcPr>
            <w:tcW w:w="1965"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项目总投资</w:t>
            </w:r>
          </w:p>
        </w:tc>
        <w:tc>
          <w:tcPr>
            <w:tcW w:w="1917"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9" w:hRule="atLeast"/>
        </w:trPr>
        <w:tc>
          <w:tcPr>
            <w:tcW w:w="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sz w:val="24"/>
              </w:rPr>
            </w:pPr>
          </w:p>
        </w:tc>
        <w:tc>
          <w:tcPr>
            <w:tcW w:w="1673"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投资管理类别</w:t>
            </w:r>
          </w:p>
        </w:tc>
        <w:tc>
          <w:tcPr>
            <w:tcW w:w="6863" w:type="dxa"/>
            <w:gridSpan w:val="8"/>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审批</w:t>
            </w:r>
            <w:r>
              <w:rPr>
                <w:sz w:val="30"/>
              </w:rPr>
              <w:t>□</w:t>
            </w:r>
            <w:r>
              <w:rPr>
                <w:sz w:val="24"/>
              </w:rPr>
              <w:t xml:space="preserve">            </w:t>
            </w:r>
            <w:r>
              <w:rPr>
                <w:rFonts w:hint="eastAsia"/>
                <w:sz w:val="24"/>
              </w:rPr>
              <w:t>核准</w:t>
            </w:r>
            <w:r>
              <w:rPr>
                <w:sz w:val="30"/>
              </w:rPr>
              <w:t>□</w:t>
            </w:r>
            <w:r>
              <w:rPr>
                <w:sz w:val="24"/>
              </w:rPr>
              <w:t xml:space="preserve">            </w:t>
            </w:r>
            <w:r>
              <w:rPr>
                <w:rFonts w:hint="eastAsia"/>
                <w:sz w:val="24"/>
              </w:rPr>
              <w:t>备案</w:t>
            </w:r>
            <w:r>
              <w:rPr>
                <w:sz w:val="3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39" w:hRule="atLeast"/>
        </w:trPr>
        <w:tc>
          <w:tcPr>
            <w:tcW w:w="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sz w:val="24"/>
              </w:rPr>
            </w:pPr>
          </w:p>
        </w:tc>
        <w:tc>
          <w:tcPr>
            <w:tcW w:w="1673"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项目所属行业</w:t>
            </w:r>
          </w:p>
        </w:tc>
        <w:tc>
          <w:tcPr>
            <w:tcW w:w="2982" w:type="dxa"/>
            <w:gridSpan w:val="4"/>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1759"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建筑面积（</w:t>
            </w:r>
            <w:r>
              <w:rPr>
                <w:sz w:val="24"/>
              </w:rPr>
              <w:t>m</w:t>
            </w:r>
            <w:r>
              <w:rPr>
                <w:sz w:val="24"/>
                <w:vertAlign w:val="superscript"/>
              </w:rPr>
              <w:t>2</w:t>
            </w:r>
            <w:r>
              <w:rPr>
                <w:rFonts w:hint="eastAsia"/>
                <w:sz w:val="24"/>
              </w:rPr>
              <w:t>）</w:t>
            </w:r>
          </w:p>
        </w:tc>
        <w:tc>
          <w:tcPr>
            <w:tcW w:w="2122"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90" w:hRule="atLeast"/>
        </w:trPr>
        <w:tc>
          <w:tcPr>
            <w:tcW w:w="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sz w:val="24"/>
              </w:rPr>
            </w:pPr>
          </w:p>
        </w:tc>
        <w:tc>
          <w:tcPr>
            <w:tcW w:w="1673"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建设规模及</w:t>
            </w:r>
          </w:p>
          <w:p>
            <w:pPr>
              <w:autoSpaceDE w:val="0"/>
              <w:autoSpaceDN w:val="0"/>
              <w:spacing w:line="280" w:lineRule="exact"/>
              <w:jc w:val="center"/>
              <w:rPr>
                <w:sz w:val="24"/>
              </w:rPr>
            </w:pPr>
            <w:r>
              <w:rPr>
                <w:rFonts w:hint="eastAsia"/>
                <w:sz w:val="24"/>
              </w:rPr>
              <w:t>主要内容</w:t>
            </w:r>
          </w:p>
        </w:tc>
        <w:tc>
          <w:tcPr>
            <w:tcW w:w="6863" w:type="dxa"/>
            <w:gridSpan w:val="8"/>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5" w:hRule="atLeast"/>
        </w:trPr>
        <w:tc>
          <w:tcPr>
            <w:tcW w:w="525"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年耗能量</w:t>
            </w:r>
          </w:p>
        </w:tc>
        <w:tc>
          <w:tcPr>
            <w:tcW w:w="1673"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能源种类</w:t>
            </w:r>
          </w:p>
        </w:tc>
        <w:tc>
          <w:tcPr>
            <w:tcW w:w="949"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计量</w:t>
            </w:r>
          </w:p>
          <w:p>
            <w:pPr>
              <w:autoSpaceDE w:val="0"/>
              <w:autoSpaceDN w:val="0"/>
              <w:spacing w:line="280" w:lineRule="exact"/>
              <w:jc w:val="center"/>
              <w:rPr>
                <w:sz w:val="24"/>
              </w:rPr>
            </w:pPr>
            <w:r>
              <w:rPr>
                <w:rFonts w:hint="eastAsia"/>
                <w:sz w:val="24"/>
              </w:rPr>
              <w:t>单位</w:t>
            </w:r>
          </w:p>
        </w:tc>
        <w:tc>
          <w:tcPr>
            <w:tcW w:w="1702"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年需要实物量</w:t>
            </w:r>
          </w:p>
        </w:tc>
        <w:tc>
          <w:tcPr>
            <w:tcW w:w="1701"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参考折标系数</w:t>
            </w:r>
          </w:p>
        </w:tc>
        <w:tc>
          <w:tcPr>
            <w:tcW w:w="2511"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年耗能量</w:t>
            </w:r>
          </w:p>
          <w:p>
            <w:pPr>
              <w:autoSpaceDE w:val="0"/>
              <w:autoSpaceDN w:val="0"/>
              <w:spacing w:line="280" w:lineRule="exact"/>
              <w:jc w:val="center"/>
              <w:rPr>
                <w:sz w:val="24"/>
              </w:rPr>
            </w:pPr>
            <w:r>
              <w:rPr>
                <w:rFonts w:hint="eastAsia"/>
                <w:sz w:val="24"/>
              </w:rPr>
              <w:t>（等价值</w:t>
            </w:r>
            <w:r>
              <w:rPr>
                <w:sz w:val="24"/>
              </w:rPr>
              <w:t>/</w:t>
            </w:r>
            <w:r>
              <w:rPr>
                <w:rFonts w:hint="eastAsia"/>
                <w:sz w:val="24"/>
              </w:rPr>
              <w:t>当量值）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trPr>
        <w:tc>
          <w:tcPr>
            <w:tcW w:w="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sz w:val="24"/>
              </w:rPr>
            </w:pPr>
          </w:p>
        </w:tc>
        <w:tc>
          <w:tcPr>
            <w:tcW w:w="1673"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949"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1702"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1701"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2511"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trPr>
        <w:tc>
          <w:tcPr>
            <w:tcW w:w="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sz w:val="24"/>
              </w:rPr>
            </w:pPr>
          </w:p>
        </w:tc>
        <w:tc>
          <w:tcPr>
            <w:tcW w:w="1673"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949"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1702"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1701"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2511"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trPr>
        <w:tc>
          <w:tcPr>
            <w:tcW w:w="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sz w:val="24"/>
              </w:rPr>
            </w:pPr>
          </w:p>
        </w:tc>
        <w:tc>
          <w:tcPr>
            <w:tcW w:w="1673"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949"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1702"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1701"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2511"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trPr>
        <w:tc>
          <w:tcPr>
            <w:tcW w:w="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sz w:val="24"/>
              </w:rPr>
            </w:pPr>
          </w:p>
        </w:tc>
        <w:tc>
          <w:tcPr>
            <w:tcW w:w="1673"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949"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1702"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1701"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2511"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trPr>
        <w:tc>
          <w:tcPr>
            <w:tcW w:w="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sz w:val="24"/>
              </w:rPr>
            </w:pPr>
          </w:p>
        </w:tc>
        <w:tc>
          <w:tcPr>
            <w:tcW w:w="8536" w:type="dxa"/>
            <w:gridSpan w:val="10"/>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能源消费总量（吨标准煤，等价值</w:t>
            </w:r>
            <w:r>
              <w:rPr>
                <w:sz w:val="24"/>
              </w:rPr>
              <w:t>/</w:t>
            </w:r>
            <w:r>
              <w:rPr>
                <w:rFonts w:hint="eastAsia"/>
                <w:sz w:val="24"/>
              </w:rPr>
              <w:t>当量值）：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trPr>
        <w:tc>
          <w:tcPr>
            <w:tcW w:w="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sz w:val="24"/>
              </w:rPr>
            </w:pPr>
          </w:p>
        </w:tc>
        <w:tc>
          <w:tcPr>
            <w:tcW w:w="15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耗能工质</w:t>
            </w:r>
          </w:p>
          <w:p>
            <w:pPr>
              <w:autoSpaceDE w:val="0"/>
              <w:autoSpaceDN w:val="0"/>
              <w:spacing w:line="280" w:lineRule="exact"/>
              <w:jc w:val="center"/>
              <w:rPr>
                <w:sz w:val="24"/>
              </w:rPr>
            </w:pPr>
            <w:r>
              <w:rPr>
                <w:rFonts w:hint="eastAsia"/>
                <w:sz w:val="24"/>
              </w:rPr>
              <w:t>种类</w:t>
            </w:r>
          </w:p>
        </w:tc>
        <w:tc>
          <w:tcPr>
            <w:tcW w:w="1084"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计量</w:t>
            </w:r>
          </w:p>
          <w:p>
            <w:pPr>
              <w:autoSpaceDE w:val="0"/>
              <w:autoSpaceDN w:val="0"/>
              <w:spacing w:line="280" w:lineRule="exact"/>
              <w:jc w:val="center"/>
              <w:rPr>
                <w:sz w:val="24"/>
              </w:rPr>
            </w:pPr>
            <w:r>
              <w:rPr>
                <w:rFonts w:hint="eastAsia"/>
                <w:sz w:val="24"/>
              </w:rPr>
              <w:t>单位</w:t>
            </w:r>
          </w:p>
        </w:tc>
        <w:tc>
          <w:tcPr>
            <w:tcW w:w="1625"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年需要</w:t>
            </w:r>
          </w:p>
          <w:p>
            <w:pPr>
              <w:autoSpaceDE w:val="0"/>
              <w:autoSpaceDN w:val="0"/>
              <w:spacing w:line="280" w:lineRule="exact"/>
              <w:jc w:val="center"/>
              <w:rPr>
                <w:sz w:val="24"/>
              </w:rPr>
            </w:pPr>
            <w:r>
              <w:rPr>
                <w:rFonts w:hint="eastAsia"/>
                <w:sz w:val="24"/>
              </w:rPr>
              <w:t>实物量</w:t>
            </w:r>
          </w:p>
        </w:tc>
        <w:tc>
          <w:tcPr>
            <w:tcW w:w="1777"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参考折标</w:t>
            </w:r>
          </w:p>
          <w:p>
            <w:pPr>
              <w:autoSpaceDE w:val="0"/>
              <w:autoSpaceDN w:val="0"/>
              <w:spacing w:line="280" w:lineRule="exact"/>
              <w:jc w:val="center"/>
              <w:rPr>
                <w:sz w:val="24"/>
              </w:rPr>
            </w:pPr>
            <w:r>
              <w:rPr>
                <w:rFonts w:hint="eastAsia"/>
                <w:sz w:val="24"/>
              </w:rPr>
              <w:t>系数</w:t>
            </w:r>
          </w:p>
        </w:tc>
        <w:tc>
          <w:tcPr>
            <w:tcW w:w="2512"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年耗能量</w:t>
            </w:r>
          </w:p>
          <w:p>
            <w:pPr>
              <w:autoSpaceDE w:val="0"/>
              <w:autoSpaceDN w:val="0"/>
              <w:spacing w:line="280" w:lineRule="exact"/>
              <w:jc w:val="center"/>
              <w:rPr>
                <w:sz w:val="24"/>
              </w:rPr>
            </w:pPr>
            <w:r>
              <w:rPr>
                <w:rFonts w:hint="eastAsia"/>
                <w:sz w:val="24"/>
              </w:rPr>
              <w:t>（等价值</w:t>
            </w:r>
            <w:r>
              <w:rPr>
                <w:sz w:val="24"/>
              </w:rPr>
              <w:t>/</w:t>
            </w:r>
            <w:r>
              <w:rPr>
                <w:rFonts w:hint="eastAsia"/>
                <w:sz w:val="24"/>
              </w:rPr>
              <w:t>当量值）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trPr>
        <w:tc>
          <w:tcPr>
            <w:tcW w:w="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sz w:val="24"/>
              </w:rPr>
            </w:pPr>
          </w:p>
        </w:tc>
        <w:tc>
          <w:tcPr>
            <w:tcW w:w="15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1084"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1625"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1777"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2512"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5" w:hRule="atLeast"/>
        </w:trPr>
        <w:tc>
          <w:tcPr>
            <w:tcW w:w="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sz w:val="24"/>
              </w:rPr>
            </w:pPr>
          </w:p>
        </w:tc>
        <w:tc>
          <w:tcPr>
            <w:tcW w:w="15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1084"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1625"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1777"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c>
          <w:tcPr>
            <w:tcW w:w="2512"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trPr>
        <w:tc>
          <w:tcPr>
            <w:tcW w:w="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sz w:val="24"/>
              </w:rPr>
            </w:pPr>
          </w:p>
        </w:tc>
        <w:tc>
          <w:tcPr>
            <w:tcW w:w="6024" w:type="dxa"/>
            <w:gridSpan w:val="7"/>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耗能工质总量（吨标准煤）</w:t>
            </w:r>
          </w:p>
        </w:tc>
        <w:tc>
          <w:tcPr>
            <w:tcW w:w="2512"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trPr>
        <w:tc>
          <w:tcPr>
            <w:tcW w:w="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sz w:val="24"/>
              </w:rPr>
            </w:pPr>
          </w:p>
        </w:tc>
        <w:tc>
          <w:tcPr>
            <w:tcW w:w="6024" w:type="dxa"/>
            <w:gridSpan w:val="7"/>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一次能源、二次能源的消费总量（吨标准煤）</w:t>
            </w:r>
          </w:p>
        </w:tc>
        <w:tc>
          <w:tcPr>
            <w:tcW w:w="2512"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trPr>
        <w:tc>
          <w:tcPr>
            <w:tcW w:w="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sz w:val="24"/>
              </w:rPr>
            </w:pPr>
          </w:p>
        </w:tc>
        <w:tc>
          <w:tcPr>
            <w:tcW w:w="6024" w:type="dxa"/>
            <w:gridSpan w:val="7"/>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项目年耗能总量（吨标准煤）</w:t>
            </w:r>
          </w:p>
        </w:tc>
        <w:tc>
          <w:tcPr>
            <w:tcW w:w="2512"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trPr>
        <w:tc>
          <w:tcPr>
            <w:tcW w:w="525" w:type="dxa"/>
            <w:tcBorders>
              <w:top w:val="single" w:color="000000" w:sz="8" w:space="0"/>
              <w:left w:val="single" w:color="000000" w:sz="8" w:space="0"/>
              <w:bottom w:val="single" w:color="000000" w:sz="8" w:space="0"/>
              <w:right w:val="single" w:color="000000" w:sz="8" w:space="0"/>
            </w:tcBorders>
          </w:tcPr>
          <w:p>
            <w:pPr>
              <w:autoSpaceDE w:val="0"/>
              <w:autoSpaceDN w:val="0"/>
              <w:spacing w:line="280" w:lineRule="exact"/>
              <w:jc w:val="left"/>
              <w:rPr>
                <w:sz w:val="24"/>
              </w:rPr>
            </w:pPr>
          </w:p>
        </w:tc>
        <w:tc>
          <w:tcPr>
            <w:tcW w:w="6024" w:type="dxa"/>
            <w:gridSpan w:val="7"/>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r>
              <w:rPr>
                <w:rFonts w:hint="eastAsia"/>
                <w:sz w:val="24"/>
              </w:rPr>
              <w:t>单位工业增加值能耗（吨标煤</w:t>
            </w:r>
            <w:r>
              <w:rPr>
                <w:sz w:val="24"/>
              </w:rPr>
              <w:t>/</w:t>
            </w:r>
            <w:r>
              <w:rPr>
                <w:rFonts w:hint="eastAsia"/>
                <w:sz w:val="24"/>
              </w:rPr>
              <w:t>万元）</w:t>
            </w:r>
          </w:p>
        </w:tc>
        <w:tc>
          <w:tcPr>
            <w:tcW w:w="2512"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28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31" w:hRule="atLeast"/>
        </w:trPr>
        <w:tc>
          <w:tcPr>
            <w:tcW w:w="9061" w:type="dxa"/>
            <w:gridSpan w:val="11"/>
            <w:tcBorders>
              <w:top w:val="single" w:color="000000" w:sz="8" w:space="0"/>
              <w:left w:val="single" w:color="000000" w:sz="8" w:space="0"/>
              <w:bottom w:val="single" w:color="auto" w:sz="4" w:space="0"/>
              <w:right w:val="single" w:color="000000" w:sz="8" w:space="0"/>
            </w:tcBorders>
          </w:tcPr>
          <w:p>
            <w:pPr>
              <w:autoSpaceDE w:val="0"/>
              <w:autoSpaceDN w:val="0"/>
              <w:spacing w:line="280" w:lineRule="exact"/>
              <w:rPr>
                <w:sz w:val="24"/>
              </w:rPr>
            </w:pPr>
            <w:r>
              <w:rPr>
                <w:sz w:val="24"/>
              </w:rPr>
              <w:t xml:space="preserve">    </w:t>
            </w:r>
            <w:r>
              <w:rPr>
                <w:rFonts w:hint="eastAsia"/>
                <w:sz w:val="24"/>
              </w:rPr>
              <w:t>项目节能措施简述（采用的节能设计标准、规范以及节能新技术、新产品并说明项目能源利用效率）：</w:t>
            </w:r>
          </w:p>
          <w:p>
            <w:pPr>
              <w:autoSpaceDE w:val="0"/>
              <w:autoSpaceDN w:val="0"/>
              <w:spacing w:line="280" w:lineRule="exact"/>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525" w:hRule="atLeast"/>
        </w:trPr>
        <w:tc>
          <w:tcPr>
            <w:tcW w:w="9061" w:type="dxa"/>
            <w:gridSpan w:val="11"/>
            <w:tcBorders>
              <w:top w:val="single" w:color="auto" w:sz="4" w:space="0"/>
              <w:left w:val="single" w:color="000000" w:sz="8" w:space="0"/>
              <w:bottom w:val="single" w:color="000000" w:sz="8" w:space="0"/>
              <w:right w:val="single" w:color="000000" w:sz="8" w:space="0"/>
            </w:tcBorders>
          </w:tcPr>
          <w:p>
            <w:pPr>
              <w:autoSpaceDE w:val="0"/>
              <w:autoSpaceDN w:val="0"/>
              <w:adjustRightInd w:val="0"/>
              <w:spacing w:line="280" w:lineRule="exact"/>
              <w:rPr>
                <w:sz w:val="24"/>
              </w:rPr>
            </w:pPr>
            <w:r>
              <w:rPr>
                <w:sz w:val="24"/>
              </w:rPr>
              <w:t xml:space="preserve">    </w:t>
            </w:r>
            <w:r>
              <w:rPr>
                <w:rFonts w:hint="eastAsia"/>
                <w:sz w:val="24"/>
              </w:rPr>
              <w:t>本单位郑重承诺：</w:t>
            </w:r>
          </w:p>
          <w:p>
            <w:pPr>
              <w:autoSpaceDE w:val="0"/>
              <w:autoSpaceDN w:val="0"/>
              <w:adjustRightInd w:val="0"/>
              <w:spacing w:line="280" w:lineRule="exact"/>
              <w:rPr>
                <w:sz w:val="24"/>
              </w:rPr>
            </w:pPr>
            <w:r>
              <w:rPr>
                <w:sz w:val="24"/>
              </w:rPr>
              <w:t xml:space="preserve">    1.</w:t>
            </w:r>
            <w:r>
              <w:rPr>
                <w:rFonts w:hint="eastAsia"/>
                <w:sz w:val="24"/>
              </w:rPr>
              <w:t>本单位所提供的材料及数据真实有效。</w:t>
            </w:r>
          </w:p>
          <w:p>
            <w:pPr>
              <w:autoSpaceDE w:val="0"/>
              <w:autoSpaceDN w:val="0"/>
              <w:adjustRightInd w:val="0"/>
              <w:spacing w:line="280" w:lineRule="exact"/>
              <w:ind w:firstLine="472" w:firstLineChars="200"/>
              <w:rPr>
                <w:sz w:val="24"/>
              </w:rPr>
            </w:pPr>
            <w:r>
              <w:rPr>
                <w:sz w:val="24"/>
              </w:rPr>
              <w:t>2.</w:t>
            </w:r>
            <w:r>
              <w:rPr>
                <w:rFonts w:hint="eastAsia"/>
                <w:sz w:val="24"/>
              </w:rPr>
              <w:t>本项目不属于区域能评确定的负面清单范围。</w:t>
            </w:r>
          </w:p>
          <w:p>
            <w:pPr>
              <w:autoSpaceDE w:val="0"/>
              <w:autoSpaceDN w:val="0"/>
              <w:adjustRightInd w:val="0"/>
              <w:spacing w:line="280" w:lineRule="exact"/>
              <w:rPr>
                <w:sz w:val="24"/>
              </w:rPr>
            </w:pPr>
            <w:r>
              <w:rPr>
                <w:sz w:val="24"/>
              </w:rPr>
              <w:t xml:space="preserve">    3.</w:t>
            </w:r>
            <w:r>
              <w:rPr>
                <w:rFonts w:hint="eastAsia"/>
                <w:sz w:val="24"/>
              </w:rPr>
              <w:t>本项目不属于国家产业结构调整指导目录中的限制类、淘汰类，且符合地方产业政策，符合区域产业发展规划要求。</w:t>
            </w:r>
          </w:p>
          <w:p>
            <w:pPr>
              <w:autoSpaceDE w:val="0"/>
              <w:autoSpaceDN w:val="0"/>
              <w:adjustRightInd w:val="0"/>
              <w:spacing w:line="280" w:lineRule="exact"/>
              <w:ind w:firstLine="472" w:firstLineChars="200"/>
              <w:rPr>
                <w:sz w:val="24"/>
              </w:rPr>
            </w:pPr>
            <w:r>
              <w:rPr>
                <w:sz w:val="24"/>
              </w:rPr>
              <w:t>4.</w:t>
            </w:r>
            <w:r>
              <w:rPr>
                <w:rFonts w:hint="eastAsia"/>
                <w:sz w:val="24"/>
              </w:rPr>
              <w:t>本项目单位产品能耗、电耗、水耗达到国家、省行业能耗准入标准（没有准入标准的，执行限额标准或地方能效指南）。</w:t>
            </w:r>
          </w:p>
          <w:p>
            <w:pPr>
              <w:autoSpaceDE w:val="0"/>
              <w:autoSpaceDN w:val="0"/>
              <w:adjustRightInd w:val="0"/>
              <w:spacing w:line="280" w:lineRule="exact"/>
              <w:rPr>
                <w:sz w:val="24"/>
              </w:rPr>
            </w:pPr>
            <w:r>
              <w:rPr>
                <w:sz w:val="24"/>
              </w:rPr>
              <w:t xml:space="preserve">    5</w:t>
            </w:r>
            <w:r>
              <w:rPr>
                <w:rFonts w:hint="eastAsia"/>
                <w:sz w:val="24"/>
              </w:rPr>
              <w:t>.本项目达产后总用能量控制在</w:t>
            </w:r>
            <w:r>
              <w:rPr>
                <w:sz w:val="24"/>
                <w:u w:val="single"/>
              </w:rPr>
              <w:t xml:space="preserve">    </w:t>
            </w:r>
            <w:r>
              <w:rPr>
                <w:rFonts w:hint="eastAsia"/>
                <w:sz w:val="24"/>
                <w:u w:val="single"/>
              </w:rPr>
              <w:t xml:space="preserve"> </w:t>
            </w:r>
            <w:r>
              <w:rPr>
                <w:sz w:val="24"/>
                <w:u w:val="single"/>
              </w:rPr>
              <w:t xml:space="preserve"> </w:t>
            </w:r>
            <w:r>
              <w:rPr>
                <w:rFonts w:hint="eastAsia"/>
                <w:sz w:val="24"/>
              </w:rPr>
              <w:t>吨标准煤（等价值</w:t>
            </w:r>
            <w:r>
              <w:rPr>
                <w:sz w:val="24"/>
              </w:rPr>
              <w:t>/</w:t>
            </w:r>
            <w:r>
              <w:rPr>
                <w:rFonts w:hint="eastAsia"/>
                <w:sz w:val="24"/>
              </w:rPr>
              <w:t>当量值）以内。</w:t>
            </w:r>
          </w:p>
          <w:p>
            <w:pPr>
              <w:autoSpaceDE w:val="0"/>
              <w:autoSpaceDN w:val="0"/>
              <w:adjustRightInd w:val="0"/>
              <w:spacing w:line="280" w:lineRule="exact"/>
              <w:rPr>
                <w:sz w:val="24"/>
              </w:rPr>
            </w:pPr>
            <w:r>
              <w:rPr>
                <w:sz w:val="24"/>
              </w:rPr>
              <w:t xml:space="preserve">    6.</w:t>
            </w:r>
            <w:r>
              <w:rPr>
                <w:rFonts w:hint="eastAsia"/>
                <w:sz w:val="24"/>
              </w:rPr>
              <w:t>本项目主要用能设备选择符合国家相关节能技术标准，无国家明令禁止使用的淘汰落后设备。</w:t>
            </w:r>
          </w:p>
          <w:p>
            <w:pPr>
              <w:autoSpaceDE w:val="0"/>
              <w:autoSpaceDN w:val="0"/>
              <w:adjustRightInd w:val="0"/>
              <w:spacing w:line="280" w:lineRule="exact"/>
              <w:rPr>
                <w:sz w:val="24"/>
              </w:rPr>
            </w:pPr>
            <w:r>
              <w:rPr>
                <w:sz w:val="24"/>
              </w:rPr>
              <w:t xml:space="preserve">    7.</w:t>
            </w:r>
            <w:r>
              <w:rPr>
                <w:rFonts w:hint="eastAsia"/>
                <w:sz w:val="24"/>
              </w:rPr>
              <w:t>本项目新增变压器容量为</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k</w:t>
            </w:r>
            <w:r>
              <w:rPr>
                <w:rFonts w:hint="eastAsia"/>
                <w:sz w:val="24"/>
                <w:u w:val="single"/>
              </w:rPr>
              <w:t>VA</w:t>
            </w:r>
            <w:r>
              <w:rPr>
                <w:rFonts w:hint="eastAsia"/>
                <w:sz w:val="24"/>
              </w:rPr>
              <w:t>，新增变压器型号为</w:t>
            </w:r>
            <w:r>
              <w:rPr>
                <w:sz w:val="24"/>
                <w:u w:val="single"/>
              </w:rPr>
              <w:t xml:space="preserve">   </w:t>
            </w:r>
            <w:r>
              <w:rPr>
                <w:rFonts w:hint="eastAsia"/>
                <w:sz w:val="24"/>
                <w:u w:val="single"/>
              </w:rPr>
              <w:t xml:space="preserve">       </w:t>
            </w:r>
            <w:r>
              <w:rPr>
                <w:sz w:val="24"/>
                <w:u w:val="single"/>
              </w:rPr>
              <w:t xml:space="preserve">  </w:t>
            </w:r>
            <w:r>
              <w:rPr>
                <w:rFonts w:hint="eastAsia"/>
                <w:sz w:val="24"/>
              </w:rPr>
              <w:t>。</w:t>
            </w:r>
          </w:p>
          <w:p>
            <w:pPr>
              <w:autoSpaceDE w:val="0"/>
              <w:autoSpaceDN w:val="0"/>
              <w:adjustRightInd w:val="0"/>
              <w:spacing w:line="280" w:lineRule="exact"/>
              <w:ind w:firstLine="472" w:firstLineChars="200"/>
              <w:rPr>
                <w:sz w:val="24"/>
              </w:rPr>
            </w:pPr>
            <w:r>
              <w:rPr>
                <w:sz w:val="24"/>
              </w:rPr>
              <w:t>8.</w:t>
            </w:r>
            <w:r>
              <w:rPr>
                <w:rFonts w:hint="eastAsia"/>
                <w:sz w:val="24"/>
              </w:rPr>
              <w:t>按规定配备相应的能源计量器具，落实能源计量管理。</w:t>
            </w:r>
          </w:p>
          <w:p>
            <w:pPr>
              <w:autoSpaceDE w:val="0"/>
              <w:autoSpaceDN w:val="0"/>
              <w:adjustRightInd w:val="0"/>
              <w:spacing w:line="280" w:lineRule="exact"/>
              <w:ind w:firstLine="472" w:firstLineChars="200"/>
              <w:rPr>
                <w:sz w:val="24"/>
              </w:rPr>
            </w:pPr>
            <w:r>
              <w:rPr>
                <w:sz w:val="24"/>
              </w:rPr>
              <w:t>9.</w:t>
            </w:r>
            <w:r>
              <w:rPr>
                <w:rFonts w:hint="eastAsia"/>
                <w:sz w:val="24"/>
              </w:rPr>
              <w:t>本项目实施过程中，将严格遵守国家相关节能法律法规政策。</w:t>
            </w:r>
          </w:p>
          <w:p>
            <w:pPr>
              <w:autoSpaceDE w:val="0"/>
              <w:autoSpaceDN w:val="0"/>
              <w:adjustRightInd w:val="0"/>
              <w:spacing w:line="280" w:lineRule="exact"/>
              <w:rPr>
                <w:sz w:val="24"/>
              </w:rPr>
            </w:pPr>
          </w:p>
          <w:p>
            <w:pPr>
              <w:autoSpaceDE w:val="0"/>
              <w:autoSpaceDN w:val="0"/>
              <w:adjustRightInd w:val="0"/>
              <w:spacing w:line="280" w:lineRule="exact"/>
              <w:rPr>
                <w:sz w:val="24"/>
              </w:rPr>
            </w:pPr>
          </w:p>
          <w:p>
            <w:pPr>
              <w:autoSpaceDE w:val="0"/>
              <w:autoSpaceDN w:val="0"/>
              <w:adjustRightInd w:val="0"/>
              <w:spacing w:line="280" w:lineRule="exact"/>
              <w:rPr>
                <w:sz w:val="24"/>
              </w:rPr>
            </w:pPr>
          </w:p>
          <w:p>
            <w:pPr>
              <w:autoSpaceDE w:val="0"/>
              <w:autoSpaceDN w:val="0"/>
              <w:adjustRightInd w:val="0"/>
              <w:spacing w:line="280" w:lineRule="exact"/>
              <w:rPr>
                <w:sz w:val="24"/>
              </w:rPr>
            </w:pPr>
          </w:p>
          <w:p>
            <w:pPr>
              <w:autoSpaceDE w:val="0"/>
              <w:autoSpaceDN w:val="0"/>
              <w:adjustRightInd w:val="0"/>
              <w:spacing w:line="280" w:lineRule="exact"/>
              <w:rPr>
                <w:sz w:val="24"/>
              </w:rPr>
            </w:pPr>
          </w:p>
          <w:p>
            <w:pPr>
              <w:autoSpaceDE w:val="0"/>
              <w:autoSpaceDN w:val="0"/>
              <w:adjustRightInd w:val="0"/>
              <w:spacing w:line="280" w:lineRule="exact"/>
              <w:rPr>
                <w:sz w:val="24"/>
              </w:rPr>
            </w:pPr>
            <w:r>
              <w:rPr>
                <w:sz w:val="24"/>
              </w:rPr>
              <w:t xml:space="preserve">      </w:t>
            </w:r>
            <w:r>
              <w:rPr>
                <w:rFonts w:hint="eastAsia"/>
                <w:sz w:val="24"/>
              </w:rPr>
              <w:t>法定代表人（签字）：</w:t>
            </w:r>
            <w:r>
              <w:rPr>
                <w:sz w:val="24"/>
              </w:rPr>
              <w:t xml:space="preserve">                       </w:t>
            </w:r>
            <w:r>
              <w:rPr>
                <w:rFonts w:hint="eastAsia"/>
                <w:sz w:val="24"/>
              </w:rPr>
              <w:t>企业（盖章）</w:t>
            </w:r>
          </w:p>
          <w:p>
            <w:pPr>
              <w:autoSpaceDE w:val="0"/>
              <w:autoSpaceDN w:val="0"/>
              <w:adjustRightInd w:val="0"/>
              <w:spacing w:line="280" w:lineRule="exact"/>
              <w:rPr>
                <w:sz w:val="24"/>
              </w:rPr>
            </w:pPr>
          </w:p>
          <w:p>
            <w:pPr>
              <w:autoSpaceDE w:val="0"/>
              <w:autoSpaceDN w:val="0"/>
              <w:spacing w:line="280" w:lineRule="exac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45" w:hRule="atLeast"/>
        </w:trPr>
        <w:tc>
          <w:tcPr>
            <w:tcW w:w="9061" w:type="dxa"/>
            <w:gridSpan w:val="11"/>
            <w:tcBorders>
              <w:top w:val="single" w:color="000000" w:sz="8" w:space="0"/>
              <w:left w:val="single" w:color="000000" w:sz="8" w:space="0"/>
              <w:bottom w:val="single" w:color="000000" w:sz="8" w:space="0"/>
              <w:right w:val="single" w:color="000000" w:sz="8" w:space="0"/>
            </w:tcBorders>
          </w:tcPr>
          <w:p>
            <w:pPr>
              <w:autoSpaceDE w:val="0"/>
              <w:autoSpaceDN w:val="0"/>
              <w:spacing w:line="340" w:lineRule="exact"/>
              <w:rPr>
                <w:sz w:val="24"/>
              </w:rPr>
            </w:pPr>
            <w:r>
              <w:rPr>
                <w:rFonts w:hint="eastAsia"/>
                <w:sz w:val="24"/>
              </w:rPr>
              <w:t>区域管理机构登记备案意见：</w:t>
            </w:r>
            <w:r>
              <w:rPr>
                <w:sz w:val="24"/>
              </w:rPr>
              <w:t xml:space="preserve"> </w:t>
            </w:r>
          </w:p>
          <w:p>
            <w:pPr>
              <w:autoSpaceDE w:val="0"/>
              <w:autoSpaceDN w:val="0"/>
              <w:spacing w:line="340" w:lineRule="exact"/>
              <w:rPr>
                <w:sz w:val="24"/>
              </w:rPr>
            </w:pPr>
          </w:p>
          <w:p>
            <w:pPr>
              <w:autoSpaceDE w:val="0"/>
              <w:autoSpaceDN w:val="0"/>
              <w:spacing w:line="340" w:lineRule="exact"/>
              <w:rPr>
                <w:sz w:val="24"/>
              </w:rPr>
            </w:pPr>
          </w:p>
          <w:p>
            <w:pPr>
              <w:autoSpaceDE w:val="0"/>
              <w:autoSpaceDN w:val="0"/>
              <w:spacing w:line="340" w:lineRule="exact"/>
              <w:rPr>
                <w:sz w:val="24"/>
              </w:rPr>
            </w:pPr>
          </w:p>
          <w:p>
            <w:pPr>
              <w:autoSpaceDE w:val="0"/>
              <w:autoSpaceDN w:val="0"/>
              <w:spacing w:line="340" w:lineRule="exact"/>
              <w:rPr>
                <w:sz w:val="24"/>
              </w:rPr>
            </w:pPr>
          </w:p>
          <w:p>
            <w:pPr>
              <w:autoSpaceDE w:val="0"/>
              <w:autoSpaceDN w:val="0"/>
              <w:spacing w:line="340" w:lineRule="exact"/>
              <w:rPr>
                <w:sz w:val="24"/>
              </w:rPr>
            </w:pPr>
          </w:p>
          <w:p>
            <w:pPr>
              <w:autoSpaceDE w:val="0"/>
              <w:autoSpaceDN w:val="0"/>
              <w:spacing w:line="340" w:lineRule="exact"/>
              <w:rPr>
                <w:sz w:val="24"/>
              </w:rPr>
            </w:pPr>
          </w:p>
          <w:p>
            <w:pPr>
              <w:autoSpaceDE w:val="0"/>
              <w:autoSpaceDN w:val="0"/>
              <w:spacing w:line="340" w:lineRule="exact"/>
              <w:rPr>
                <w:sz w:val="24"/>
              </w:rPr>
            </w:pPr>
            <w:r>
              <w:rPr>
                <w:sz w:val="24"/>
              </w:rPr>
              <w:t xml:space="preserve">                                                         </w:t>
            </w:r>
            <w:r>
              <w:rPr>
                <w:rFonts w:hint="eastAsia"/>
                <w:sz w:val="24"/>
              </w:rPr>
              <w:t>（签</w:t>
            </w:r>
            <w:r>
              <w:rPr>
                <w:sz w:val="24"/>
              </w:rPr>
              <w:t xml:space="preserve"> </w:t>
            </w:r>
            <w:r>
              <w:rPr>
                <w:rFonts w:hint="eastAsia"/>
                <w:sz w:val="24"/>
              </w:rPr>
              <w:t>章）</w:t>
            </w:r>
            <w:r>
              <w:rPr>
                <w:sz w:val="24"/>
              </w:rPr>
              <w:t xml:space="preserve"> </w:t>
            </w:r>
          </w:p>
          <w:p>
            <w:pPr>
              <w:autoSpaceDE w:val="0"/>
              <w:autoSpaceDN w:val="0"/>
              <w:spacing w:line="340" w:lineRule="exac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autoSpaceDE w:val="0"/>
              <w:autoSpaceDN w:val="0"/>
              <w:spacing w:line="340" w:lineRule="exact"/>
              <w:rPr>
                <w:sz w:val="24"/>
              </w:rPr>
            </w:pPr>
          </w:p>
        </w:tc>
      </w:tr>
    </w:tbl>
    <w:p>
      <w:pPr>
        <w:rPr>
          <w:sz w:val="24"/>
        </w:rPr>
      </w:pPr>
      <w:r>
        <w:rPr>
          <w:rFonts w:hint="eastAsia"/>
          <w:b/>
          <w:bCs/>
          <w:sz w:val="24"/>
        </w:rPr>
        <w:t>注：</w:t>
      </w:r>
      <w:r>
        <w:rPr>
          <w:rFonts w:hint="eastAsia"/>
          <w:sz w:val="24"/>
        </w:rPr>
        <w:t>各种能源及耗能工质折标准煤参考系数参照《综合能耗计算通则》（</w:t>
      </w:r>
      <w:r>
        <w:rPr>
          <w:sz w:val="24"/>
        </w:rPr>
        <w:t>GB/T2589</w:t>
      </w:r>
      <w:r>
        <w:rPr>
          <w:rFonts w:hint="eastAsia"/>
          <w:sz w:val="24"/>
        </w:rPr>
        <w:t>）。</w:t>
      </w:r>
    </w:p>
    <w:p>
      <w:pPr>
        <w:pStyle w:val="2"/>
        <w:ind w:firstLine="0" w:firstLineChars="0"/>
        <w:jc w:val="left"/>
        <w:rPr>
          <w:rFonts w:ascii="仿宋_GB2312" w:eastAsia="仿宋_GB2312"/>
          <w:sz w:val="32"/>
          <w:szCs w:val="32"/>
        </w:rPr>
      </w:pPr>
    </w:p>
    <w:p>
      <w:pPr>
        <w:pStyle w:val="2"/>
        <w:ind w:firstLine="0" w:firstLineChars="0"/>
        <w:jc w:val="lef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3-2</w:t>
      </w:r>
    </w:p>
    <w:p>
      <w:pPr>
        <w:pStyle w:val="2"/>
        <w:ind w:firstLine="0" w:firstLineChars="0"/>
        <w:jc w:val="center"/>
        <w:rPr>
          <w:rFonts w:ascii="方正小标宋简体" w:hAnsi="方正小标宋简体" w:eastAsia="方正小标宋简体"/>
          <w:sz w:val="36"/>
          <w:szCs w:val="21"/>
        </w:rPr>
      </w:pPr>
      <w:r>
        <w:rPr>
          <w:rFonts w:hint="eastAsia" w:ascii="方正小标宋简体" w:hAnsi="方正小标宋简体" w:eastAsia="方正小标宋简体"/>
          <w:sz w:val="36"/>
          <w:szCs w:val="21"/>
        </w:rPr>
        <w:t>龙港市用能（用电）项目负面清单</w:t>
      </w:r>
    </w:p>
    <w:p>
      <w:pPr>
        <w:pStyle w:val="2"/>
        <w:ind w:firstLine="630"/>
        <w:jc w:val="left"/>
        <w:rPr>
          <w:rFonts w:ascii="仿宋_GB2312" w:eastAsia="仿宋_GB2312"/>
          <w:sz w:val="32"/>
          <w:szCs w:val="32"/>
        </w:rPr>
      </w:pPr>
    </w:p>
    <w:p>
      <w:pPr>
        <w:pStyle w:val="2"/>
        <w:ind w:firstLine="630"/>
        <w:jc w:val="left"/>
        <w:rPr>
          <w:rFonts w:ascii="仿宋_GB2312" w:eastAsia="仿宋_GB2312"/>
          <w:sz w:val="32"/>
          <w:szCs w:val="32"/>
        </w:rPr>
      </w:pPr>
      <w:r>
        <w:rPr>
          <w:rFonts w:hint="eastAsia" w:ascii="仿宋_GB2312" w:eastAsia="仿宋_GB2312"/>
          <w:sz w:val="32"/>
          <w:szCs w:val="32"/>
        </w:rPr>
        <w:t>一、属于省高耗能行业的企业（省高耗能行业范畴：纺织业、非金属矿物制品业、金属冶炼和压延加工业、化学原料及化学制品制造业、石油加工炼焦和核燃料加工业、造纸和纸制品业、化学纤维制造业、电力热力的生产和供应业、数据中心）。</w:t>
      </w:r>
    </w:p>
    <w:p>
      <w:pPr>
        <w:pStyle w:val="2"/>
        <w:ind w:firstLine="630"/>
        <w:jc w:val="left"/>
        <w:rPr>
          <w:rFonts w:ascii="仿宋_GB2312" w:eastAsia="仿宋_GB2312"/>
          <w:sz w:val="32"/>
          <w:szCs w:val="32"/>
        </w:rPr>
      </w:pPr>
      <w:r>
        <w:rPr>
          <w:rFonts w:hint="eastAsia" w:ascii="仿宋_GB2312" w:eastAsia="仿宋_GB2312"/>
          <w:sz w:val="32"/>
          <w:szCs w:val="32"/>
        </w:rPr>
        <w:t>二、“亩均论英雄”综合评价C、D类企业。</w:t>
      </w:r>
    </w:p>
    <w:p>
      <w:pPr>
        <w:pStyle w:val="2"/>
        <w:ind w:firstLine="630"/>
        <w:jc w:val="left"/>
        <w:rPr>
          <w:rFonts w:ascii="仿宋_GB2312" w:eastAsia="仿宋_GB2312"/>
          <w:sz w:val="32"/>
          <w:szCs w:val="32"/>
        </w:rPr>
      </w:pPr>
      <w:r>
        <w:rPr>
          <w:rFonts w:hint="eastAsia" w:ascii="仿宋_GB2312" w:eastAsia="仿宋_GB2312"/>
          <w:sz w:val="32"/>
          <w:szCs w:val="32"/>
        </w:rPr>
        <w:t>三、列入失信名单企业。</w:t>
      </w:r>
    </w:p>
    <w:p>
      <w:pPr>
        <w:pStyle w:val="2"/>
        <w:ind w:firstLine="630"/>
        <w:jc w:val="left"/>
        <w:rPr>
          <w:rFonts w:ascii="仿宋_GB2312" w:eastAsia="仿宋_GB2312"/>
          <w:sz w:val="32"/>
          <w:szCs w:val="32"/>
        </w:rPr>
      </w:pPr>
      <w:r>
        <w:rPr>
          <w:rFonts w:hint="eastAsia" w:ascii="仿宋_GB2312" w:eastAsia="仿宋_GB2312"/>
          <w:sz w:val="32"/>
          <w:szCs w:val="32"/>
        </w:rPr>
        <w:t>四、中央环保督察整治或者行业整治中要求淘汰关停的企业。</w:t>
      </w:r>
    </w:p>
    <w:p>
      <w:pPr>
        <w:pStyle w:val="2"/>
        <w:ind w:firstLine="630"/>
        <w:jc w:val="left"/>
        <w:rPr>
          <w:rFonts w:ascii="仿宋_GB2312" w:eastAsia="仿宋_GB2312"/>
          <w:sz w:val="32"/>
          <w:szCs w:val="32"/>
        </w:rPr>
      </w:pPr>
      <w:r>
        <w:rPr>
          <w:rFonts w:hint="eastAsia" w:ascii="仿宋_GB2312" w:eastAsia="仿宋_GB2312"/>
          <w:sz w:val="32"/>
          <w:szCs w:val="32"/>
        </w:rPr>
        <w:t>五、厂房属违章建筑的企业（用户）。</w:t>
      </w:r>
    </w:p>
    <w:p>
      <w:pPr>
        <w:pStyle w:val="2"/>
        <w:ind w:firstLine="630"/>
        <w:jc w:val="left"/>
        <w:rPr>
          <w:rFonts w:ascii="仿宋_GB2312" w:eastAsia="仿宋_GB2312"/>
          <w:sz w:val="32"/>
          <w:szCs w:val="32"/>
        </w:rPr>
      </w:pPr>
      <w:r>
        <w:rPr>
          <w:rFonts w:hint="eastAsia" w:ascii="仿宋_GB2312" w:eastAsia="仿宋_GB2312"/>
          <w:sz w:val="32"/>
          <w:szCs w:val="32"/>
        </w:rPr>
        <w:t>六、各类无证无照企业、经营户。</w:t>
      </w:r>
    </w:p>
    <w:p>
      <w:pPr>
        <w:pStyle w:val="2"/>
        <w:ind w:firstLine="630"/>
        <w:jc w:val="left"/>
        <w:rPr>
          <w:rFonts w:ascii="仿宋_GB2312" w:eastAsia="仿宋_GB2312"/>
          <w:sz w:val="32"/>
          <w:szCs w:val="32"/>
        </w:rPr>
      </w:pPr>
      <w:r>
        <w:rPr>
          <w:rFonts w:hint="eastAsia" w:ascii="仿宋_GB2312" w:eastAsia="仿宋_GB2312"/>
          <w:sz w:val="32"/>
          <w:szCs w:val="32"/>
        </w:rPr>
        <w:t>七、变压器新增或报装容量</w:t>
      </w:r>
      <w:r>
        <w:rPr>
          <w:rFonts w:ascii="仿宋_GB2312" w:eastAsia="仿宋_GB2312"/>
          <w:sz w:val="32"/>
          <w:szCs w:val="32"/>
        </w:rPr>
        <w:t>2000</w:t>
      </w:r>
      <w:r>
        <w:rPr>
          <w:rFonts w:hint="eastAsia" w:ascii="仿宋_GB2312" w:eastAsia="仿宋_GB2312"/>
          <w:sz w:val="32"/>
          <w:szCs w:val="32"/>
        </w:rPr>
        <w:t>k</w:t>
      </w:r>
      <w:r>
        <w:rPr>
          <w:rFonts w:ascii="仿宋_GB2312" w:eastAsia="仿宋_GB2312"/>
          <w:sz w:val="32"/>
          <w:szCs w:val="32"/>
        </w:rPr>
        <w:t>VA</w:t>
      </w:r>
      <w:r>
        <w:rPr>
          <w:rFonts w:hint="eastAsia" w:ascii="仿宋_GB2312" w:eastAsia="仿宋_GB2312"/>
          <w:sz w:val="32"/>
          <w:szCs w:val="32"/>
        </w:rPr>
        <w:t>及以上的项目</w:t>
      </w:r>
    </w:p>
    <w:p>
      <w:pPr>
        <w:pStyle w:val="2"/>
        <w:ind w:firstLine="630"/>
        <w:jc w:val="left"/>
        <w:rPr>
          <w:rFonts w:ascii="仿宋_GB2312" w:eastAsia="仿宋_GB2312"/>
          <w:sz w:val="32"/>
          <w:szCs w:val="32"/>
        </w:rPr>
      </w:pPr>
      <w:r>
        <w:rPr>
          <w:rFonts w:hint="eastAsia" w:ascii="仿宋_GB2312" w:eastAsia="仿宋_GB2312"/>
          <w:sz w:val="32"/>
          <w:szCs w:val="32"/>
        </w:rPr>
        <w:t>八、火电、钢铁、水泥、石化、化工、有色金属冶炼等六大高污染行业项目。</w:t>
      </w:r>
    </w:p>
    <w:p>
      <w:pPr>
        <w:pStyle w:val="2"/>
        <w:ind w:firstLine="630"/>
        <w:jc w:val="left"/>
        <w:rPr>
          <w:rFonts w:ascii="仿宋_GB2312" w:eastAsia="仿宋_GB2312"/>
          <w:sz w:val="32"/>
          <w:szCs w:val="32"/>
        </w:rPr>
      </w:pPr>
      <w:r>
        <w:rPr>
          <w:rFonts w:hint="eastAsia" w:ascii="仿宋_GB2312" w:eastAsia="仿宋_GB2312"/>
          <w:sz w:val="32"/>
          <w:szCs w:val="32"/>
        </w:rPr>
        <w:t>九、自有专变存在转供电情形的企业。</w:t>
      </w:r>
    </w:p>
    <w:p>
      <w:pPr>
        <w:pStyle w:val="2"/>
        <w:ind w:firstLine="630"/>
        <w:jc w:val="left"/>
        <w:rPr>
          <w:rFonts w:ascii="仿宋_GB2312" w:eastAsia="仿宋_GB2312"/>
          <w:sz w:val="32"/>
          <w:szCs w:val="32"/>
        </w:rPr>
      </w:pPr>
      <w:r>
        <w:rPr>
          <w:rFonts w:hint="eastAsia" w:ascii="仿宋_GB2312" w:eastAsia="仿宋_GB2312"/>
          <w:sz w:val="32"/>
          <w:szCs w:val="32"/>
        </w:rPr>
        <w:t>十、</w:t>
      </w:r>
      <w:r>
        <w:rPr>
          <w:rFonts w:hint="eastAsia" w:ascii="仿宋_GB2312" w:hAnsi="仿宋" w:eastAsia="仿宋_GB2312"/>
          <w:sz w:val="32"/>
          <w:szCs w:val="32"/>
        </w:rPr>
        <w:t>其他法律、法规、政策规定的限制报装的情形。</w:t>
      </w:r>
    </w:p>
    <w:p>
      <w:pPr>
        <w:pStyle w:val="2"/>
        <w:ind w:firstLine="0" w:firstLineChars="0"/>
        <w:jc w:val="left"/>
        <w:rPr>
          <w:rFonts w:ascii="仿宋_GB2312" w:hAnsi="仿宋_GB2312" w:eastAsia="仿宋_GB2312" w:cs="仿宋_GB2312"/>
          <w:sz w:val="32"/>
          <w:szCs w:val="32"/>
        </w:rPr>
      </w:pPr>
    </w:p>
    <w:sectPr>
      <w:pgSz w:w="11906" w:h="16838"/>
      <w:pgMar w:top="1701" w:right="1531" w:bottom="1440" w:left="1474" w:header="851" w:footer="1588" w:gutter="0"/>
      <w:pgNumType w:fmt="numberInDash"/>
      <w:cols w:space="425"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6040"/>
      <w:docPartObj>
        <w:docPartGallery w:val="AutoText"/>
      </w:docPartObj>
    </w:sdtPr>
    <w:sdtEndPr>
      <w:rPr>
        <w:sz w:val="21"/>
        <w:szCs w:val="21"/>
      </w:rPr>
    </w:sdtEndPr>
    <w:sdtContent>
      <w:p>
        <w:pPr>
          <w:pStyle w:val="3"/>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2492177"/>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0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51"/>
    <w:rsid w:val="00002C10"/>
    <w:rsid w:val="00003CD1"/>
    <w:rsid w:val="0000539C"/>
    <w:rsid w:val="000062E9"/>
    <w:rsid w:val="000119E6"/>
    <w:rsid w:val="00016972"/>
    <w:rsid w:val="00022253"/>
    <w:rsid w:val="00023038"/>
    <w:rsid w:val="00030559"/>
    <w:rsid w:val="00036C06"/>
    <w:rsid w:val="000371AB"/>
    <w:rsid w:val="0004297D"/>
    <w:rsid w:val="00043BE1"/>
    <w:rsid w:val="00047F1C"/>
    <w:rsid w:val="00052B92"/>
    <w:rsid w:val="000538FA"/>
    <w:rsid w:val="00055BE3"/>
    <w:rsid w:val="00057120"/>
    <w:rsid w:val="00057518"/>
    <w:rsid w:val="00065B4C"/>
    <w:rsid w:val="00067772"/>
    <w:rsid w:val="00070B39"/>
    <w:rsid w:val="00081A76"/>
    <w:rsid w:val="0008426D"/>
    <w:rsid w:val="00091047"/>
    <w:rsid w:val="00097D07"/>
    <w:rsid w:val="000A03EF"/>
    <w:rsid w:val="000A0849"/>
    <w:rsid w:val="000C197D"/>
    <w:rsid w:val="000C27D4"/>
    <w:rsid w:val="000C4192"/>
    <w:rsid w:val="000D17CE"/>
    <w:rsid w:val="000D27C2"/>
    <w:rsid w:val="000D5331"/>
    <w:rsid w:val="000D5518"/>
    <w:rsid w:val="000E1159"/>
    <w:rsid w:val="000E141C"/>
    <w:rsid w:val="000E505D"/>
    <w:rsid w:val="000E57FA"/>
    <w:rsid w:val="000F0F63"/>
    <w:rsid w:val="000F3300"/>
    <w:rsid w:val="000F6A4D"/>
    <w:rsid w:val="00102D46"/>
    <w:rsid w:val="00104C55"/>
    <w:rsid w:val="00130C92"/>
    <w:rsid w:val="00151724"/>
    <w:rsid w:val="00153399"/>
    <w:rsid w:val="001640E6"/>
    <w:rsid w:val="001713F8"/>
    <w:rsid w:val="00182B2B"/>
    <w:rsid w:val="001878FE"/>
    <w:rsid w:val="00187A10"/>
    <w:rsid w:val="00190DE4"/>
    <w:rsid w:val="00191682"/>
    <w:rsid w:val="001918C1"/>
    <w:rsid w:val="00191C7C"/>
    <w:rsid w:val="0019250A"/>
    <w:rsid w:val="00194CD6"/>
    <w:rsid w:val="001A4FFA"/>
    <w:rsid w:val="001B0B45"/>
    <w:rsid w:val="001B2431"/>
    <w:rsid w:val="001B5C7D"/>
    <w:rsid w:val="001C28C4"/>
    <w:rsid w:val="001C3792"/>
    <w:rsid w:val="001C6767"/>
    <w:rsid w:val="001D4511"/>
    <w:rsid w:val="001D72A6"/>
    <w:rsid w:val="001E47DA"/>
    <w:rsid w:val="001E6F30"/>
    <w:rsid w:val="001E7C85"/>
    <w:rsid w:val="001F27EB"/>
    <w:rsid w:val="001F2AEF"/>
    <w:rsid w:val="001F572F"/>
    <w:rsid w:val="001F5969"/>
    <w:rsid w:val="001F7F2D"/>
    <w:rsid w:val="00214A26"/>
    <w:rsid w:val="00217CE1"/>
    <w:rsid w:val="00222A8F"/>
    <w:rsid w:val="00222E62"/>
    <w:rsid w:val="00224566"/>
    <w:rsid w:val="0023577A"/>
    <w:rsid w:val="002428EF"/>
    <w:rsid w:val="002567E7"/>
    <w:rsid w:val="00261EEC"/>
    <w:rsid w:val="00262CC5"/>
    <w:rsid w:val="002737D6"/>
    <w:rsid w:val="002740E4"/>
    <w:rsid w:val="00275BFD"/>
    <w:rsid w:val="00282A7F"/>
    <w:rsid w:val="0028785C"/>
    <w:rsid w:val="00287D6D"/>
    <w:rsid w:val="002910FE"/>
    <w:rsid w:val="002913AB"/>
    <w:rsid w:val="00291B1D"/>
    <w:rsid w:val="00291EBC"/>
    <w:rsid w:val="00295BA7"/>
    <w:rsid w:val="002A5702"/>
    <w:rsid w:val="002A5D2F"/>
    <w:rsid w:val="002A5EEE"/>
    <w:rsid w:val="002A7E61"/>
    <w:rsid w:val="002B39B0"/>
    <w:rsid w:val="002B3DCC"/>
    <w:rsid w:val="002B767C"/>
    <w:rsid w:val="002B7B34"/>
    <w:rsid w:val="002B7CF1"/>
    <w:rsid w:val="002C1278"/>
    <w:rsid w:val="002C4FED"/>
    <w:rsid w:val="002C58F6"/>
    <w:rsid w:val="002C5FF4"/>
    <w:rsid w:val="002D54BF"/>
    <w:rsid w:val="002E08F8"/>
    <w:rsid w:val="002E75B1"/>
    <w:rsid w:val="002F2CCB"/>
    <w:rsid w:val="002F60DE"/>
    <w:rsid w:val="00304674"/>
    <w:rsid w:val="003118F6"/>
    <w:rsid w:val="00312759"/>
    <w:rsid w:val="003166BC"/>
    <w:rsid w:val="003206DF"/>
    <w:rsid w:val="00331F8E"/>
    <w:rsid w:val="00332BD1"/>
    <w:rsid w:val="003401C3"/>
    <w:rsid w:val="00350CD0"/>
    <w:rsid w:val="00354943"/>
    <w:rsid w:val="003675F8"/>
    <w:rsid w:val="003704E9"/>
    <w:rsid w:val="003717A7"/>
    <w:rsid w:val="003776E4"/>
    <w:rsid w:val="0038298D"/>
    <w:rsid w:val="00391955"/>
    <w:rsid w:val="003A33A8"/>
    <w:rsid w:val="003A6F82"/>
    <w:rsid w:val="003B3B16"/>
    <w:rsid w:val="003B6E37"/>
    <w:rsid w:val="003E2E82"/>
    <w:rsid w:val="003E361E"/>
    <w:rsid w:val="003E59C6"/>
    <w:rsid w:val="003F1CD0"/>
    <w:rsid w:val="003F426C"/>
    <w:rsid w:val="003F7EB7"/>
    <w:rsid w:val="004054C1"/>
    <w:rsid w:val="0040699D"/>
    <w:rsid w:val="00414E3D"/>
    <w:rsid w:val="00416629"/>
    <w:rsid w:val="00416D93"/>
    <w:rsid w:val="00417E54"/>
    <w:rsid w:val="00420CBC"/>
    <w:rsid w:val="00432E95"/>
    <w:rsid w:val="00443CFE"/>
    <w:rsid w:val="004512A0"/>
    <w:rsid w:val="00451F58"/>
    <w:rsid w:val="00455849"/>
    <w:rsid w:val="00463074"/>
    <w:rsid w:val="004712F5"/>
    <w:rsid w:val="0047210F"/>
    <w:rsid w:val="00472181"/>
    <w:rsid w:val="0047778B"/>
    <w:rsid w:val="004803DE"/>
    <w:rsid w:val="004900DD"/>
    <w:rsid w:val="00494B1C"/>
    <w:rsid w:val="004A136A"/>
    <w:rsid w:val="004A581B"/>
    <w:rsid w:val="004A74EB"/>
    <w:rsid w:val="004B0EDB"/>
    <w:rsid w:val="004B21DE"/>
    <w:rsid w:val="004B4014"/>
    <w:rsid w:val="004B5AC3"/>
    <w:rsid w:val="004C041B"/>
    <w:rsid w:val="004C26C8"/>
    <w:rsid w:val="004C431F"/>
    <w:rsid w:val="004E19C8"/>
    <w:rsid w:val="004E27BF"/>
    <w:rsid w:val="004E2BAD"/>
    <w:rsid w:val="004E74FA"/>
    <w:rsid w:val="00510075"/>
    <w:rsid w:val="00525EBF"/>
    <w:rsid w:val="00547816"/>
    <w:rsid w:val="00561B2B"/>
    <w:rsid w:val="00562919"/>
    <w:rsid w:val="00563F9A"/>
    <w:rsid w:val="005769E8"/>
    <w:rsid w:val="00582DBA"/>
    <w:rsid w:val="00585A19"/>
    <w:rsid w:val="00590D29"/>
    <w:rsid w:val="005A142B"/>
    <w:rsid w:val="005A2166"/>
    <w:rsid w:val="005A5A7A"/>
    <w:rsid w:val="005B2880"/>
    <w:rsid w:val="005B411D"/>
    <w:rsid w:val="005C0021"/>
    <w:rsid w:val="005C0F70"/>
    <w:rsid w:val="005C2B0F"/>
    <w:rsid w:val="005C75CA"/>
    <w:rsid w:val="005D331C"/>
    <w:rsid w:val="005D4432"/>
    <w:rsid w:val="005D48EF"/>
    <w:rsid w:val="005D6AD7"/>
    <w:rsid w:val="005E1977"/>
    <w:rsid w:val="005E2098"/>
    <w:rsid w:val="005E2AE2"/>
    <w:rsid w:val="005E5073"/>
    <w:rsid w:val="005E5DB6"/>
    <w:rsid w:val="005F1F91"/>
    <w:rsid w:val="00605E06"/>
    <w:rsid w:val="00610C0D"/>
    <w:rsid w:val="00624A4D"/>
    <w:rsid w:val="00634D46"/>
    <w:rsid w:val="00662635"/>
    <w:rsid w:val="00670F2C"/>
    <w:rsid w:val="006773DC"/>
    <w:rsid w:val="00681C55"/>
    <w:rsid w:val="00684714"/>
    <w:rsid w:val="0069039A"/>
    <w:rsid w:val="00695998"/>
    <w:rsid w:val="006A35F0"/>
    <w:rsid w:val="006A3F2A"/>
    <w:rsid w:val="006A6564"/>
    <w:rsid w:val="006A6CB6"/>
    <w:rsid w:val="006D09BE"/>
    <w:rsid w:val="006D6258"/>
    <w:rsid w:val="006D73C2"/>
    <w:rsid w:val="006D7707"/>
    <w:rsid w:val="006E11BF"/>
    <w:rsid w:val="006E2B97"/>
    <w:rsid w:val="006E7984"/>
    <w:rsid w:val="006F1DC0"/>
    <w:rsid w:val="00700DBD"/>
    <w:rsid w:val="007011B3"/>
    <w:rsid w:val="007118FC"/>
    <w:rsid w:val="00716E79"/>
    <w:rsid w:val="007177FE"/>
    <w:rsid w:val="0073416A"/>
    <w:rsid w:val="007356B2"/>
    <w:rsid w:val="00740B4E"/>
    <w:rsid w:val="00744B43"/>
    <w:rsid w:val="00747BAA"/>
    <w:rsid w:val="0075043C"/>
    <w:rsid w:val="00751CEA"/>
    <w:rsid w:val="00753065"/>
    <w:rsid w:val="0075538C"/>
    <w:rsid w:val="00761081"/>
    <w:rsid w:val="0076163E"/>
    <w:rsid w:val="00761772"/>
    <w:rsid w:val="00764613"/>
    <w:rsid w:val="00766424"/>
    <w:rsid w:val="007706F1"/>
    <w:rsid w:val="007716CD"/>
    <w:rsid w:val="00771723"/>
    <w:rsid w:val="00773168"/>
    <w:rsid w:val="00773487"/>
    <w:rsid w:val="00781930"/>
    <w:rsid w:val="00786506"/>
    <w:rsid w:val="0078690E"/>
    <w:rsid w:val="00786E77"/>
    <w:rsid w:val="007928F8"/>
    <w:rsid w:val="00796BC2"/>
    <w:rsid w:val="007A053E"/>
    <w:rsid w:val="007A2CDB"/>
    <w:rsid w:val="007A4BCC"/>
    <w:rsid w:val="007A6C24"/>
    <w:rsid w:val="007B6170"/>
    <w:rsid w:val="007C0EC8"/>
    <w:rsid w:val="007C650E"/>
    <w:rsid w:val="007D00A0"/>
    <w:rsid w:val="007D48E8"/>
    <w:rsid w:val="007D702F"/>
    <w:rsid w:val="007D70A0"/>
    <w:rsid w:val="007E0906"/>
    <w:rsid w:val="007E4182"/>
    <w:rsid w:val="007F12F7"/>
    <w:rsid w:val="007F182C"/>
    <w:rsid w:val="007F1D6F"/>
    <w:rsid w:val="008040FC"/>
    <w:rsid w:val="00807FEB"/>
    <w:rsid w:val="00811272"/>
    <w:rsid w:val="00830DA5"/>
    <w:rsid w:val="008322F2"/>
    <w:rsid w:val="00832C21"/>
    <w:rsid w:val="00834B89"/>
    <w:rsid w:val="008449F6"/>
    <w:rsid w:val="00851737"/>
    <w:rsid w:val="00851A0C"/>
    <w:rsid w:val="00852F91"/>
    <w:rsid w:val="00856D05"/>
    <w:rsid w:val="008639DC"/>
    <w:rsid w:val="00863CA0"/>
    <w:rsid w:val="00872F5A"/>
    <w:rsid w:val="00881776"/>
    <w:rsid w:val="0088450D"/>
    <w:rsid w:val="00887CAB"/>
    <w:rsid w:val="008933BB"/>
    <w:rsid w:val="008959CC"/>
    <w:rsid w:val="008966E0"/>
    <w:rsid w:val="00897B97"/>
    <w:rsid w:val="008A0D88"/>
    <w:rsid w:val="008A1FA2"/>
    <w:rsid w:val="008A2658"/>
    <w:rsid w:val="008C38C8"/>
    <w:rsid w:val="008C6D0D"/>
    <w:rsid w:val="008E3A2F"/>
    <w:rsid w:val="008F4E27"/>
    <w:rsid w:val="00905128"/>
    <w:rsid w:val="00906DD0"/>
    <w:rsid w:val="00920D54"/>
    <w:rsid w:val="009246EF"/>
    <w:rsid w:val="00925A18"/>
    <w:rsid w:val="00946C39"/>
    <w:rsid w:val="009614CC"/>
    <w:rsid w:val="009711C4"/>
    <w:rsid w:val="00995C80"/>
    <w:rsid w:val="00995D98"/>
    <w:rsid w:val="009A0FB6"/>
    <w:rsid w:val="009A1148"/>
    <w:rsid w:val="009A1E3C"/>
    <w:rsid w:val="009B1151"/>
    <w:rsid w:val="009B156A"/>
    <w:rsid w:val="009B287F"/>
    <w:rsid w:val="009B5F79"/>
    <w:rsid w:val="009B6766"/>
    <w:rsid w:val="009B7DEC"/>
    <w:rsid w:val="009C4762"/>
    <w:rsid w:val="009C5132"/>
    <w:rsid w:val="009D375D"/>
    <w:rsid w:val="009D48CD"/>
    <w:rsid w:val="00A0010A"/>
    <w:rsid w:val="00A02279"/>
    <w:rsid w:val="00A0306B"/>
    <w:rsid w:val="00A231E4"/>
    <w:rsid w:val="00A2709B"/>
    <w:rsid w:val="00A342D1"/>
    <w:rsid w:val="00A362D8"/>
    <w:rsid w:val="00A4376C"/>
    <w:rsid w:val="00A4673C"/>
    <w:rsid w:val="00A50356"/>
    <w:rsid w:val="00A5380F"/>
    <w:rsid w:val="00A635F6"/>
    <w:rsid w:val="00A64005"/>
    <w:rsid w:val="00A65FF6"/>
    <w:rsid w:val="00A7713C"/>
    <w:rsid w:val="00A81B75"/>
    <w:rsid w:val="00A84020"/>
    <w:rsid w:val="00A8483A"/>
    <w:rsid w:val="00A94594"/>
    <w:rsid w:val="00AA1C9E"/>
    <w:rsid w:val="00AA649F"/>
    <w:rsid w:val="00AB24EC"/>
    <w:rsid w:val="00AB6870"/>
    <w:rsid w:val="00AB72FE"/>
    <w:rsid w:val="00AC5F21"/>
    <w:rsid w:val="00AD070F"/>
    <w:rsid w:val="00AD65AE"/>
    <w:rsid w:val="00AD7F0C"/>
    <w:rsid w:val="00AE592E"/>
    <w:rsid w:val="00AF6A90"/>
    <w:rsid w:val="00B20A06"/>
    <w:rsid w:val="00B2725C"/>
    <w:rsid w:val="00B3115E"/>
    <w:rsid w:val="00B373A8"/>
    <w:rsid w:val="00B51FD8"/>
    <w:rsid w:val="00B61EA9"/>
    <w:rsid w:val="00B6688C"/>
    <w:rsid w:val="00B66C1D"/>
    <w:rsid w:val="00B70D0E"/>
    <w:rsid w:val="00B71121"/>
    <w:rsid w:val="00B7292B"/>
    <w:rsid w:val="00B7388D"/>
    <w:rsid w:val="00B85E4A"/>
    <w:rsid w:val="00B869A5"/>
    <w:rsid w:val="00B87962"/>
    <w:rsid w:val="00B91C4C"/>
    <w:rsid w:val="00B96D30"/>
    <w:rsid w:val="00B97560"/>
    <w:rsid w:val="00BA0F54"/>
    <w:rsid w:val="00BA7084"/>
    <w:rsid w:val="00BA7659"/>
    <w:rsid w:val="00BA7B81"/>
    <w:rsid w:val="00BA7F2C"/>
    <w:rsid w:val="00BB19B9"/>
    <w:rsid w:val="00BB51C2"/>
    <w:rsid w:val="00BC65AA"/>
    <w:rsid w:val="00BD0F77"/>
    <w:rsid w:val="00BD3658"/>
    <w:rsid w:val="00BD3AA2"/>
    <w:rsid w:val="00BD6886"/>
    <w:rsid w:val="00BE2D3D"/>
    <w:rsid w:val="00C03970"/>
    <w:rsid w:val="00C05199"/>
    <w:rsid w:val="00C104A8"/>
    <w:rsid w:val="00C2022B"/>
    <w:rsid w:val="00C210F4"/>
    <w:rsid w:val="00C35BA1"/>
    <w:rsid w:val="00C3779A"/>
    <w:rsid w:val="00C456D8"/>
    <w:rsid w:val="00C45DBC"/>
    <w:rsid w:val="00C47AC2"/>
    <w:rsid w:val="00C57ECD"/>
    <w:rsid w:val="00C60294"/>
    <w:rsid w:val="00C62A92"/>
    <w:rsid w:val="00C62CFF"/>
    <w:rsid w:val="00C667A9"/>
    <w:rsid w:val="00C73729"/>
    <w:rsid w:val="00C762FC"/>
    <w:rsid w:val="00C77B4C"/>
    <w:rsid w:val="00C82130"/>
    <w:rsid w:val="00C843C1"/>
    <w:rsid w:val="00C84E7B"/>
    <w:rsid w:val="00C84EFF"/>
    <w:rsid w:val="00C86E0C"/>
    <w:rsid w:val="00CA2571"/>
    <w:rsid w:val="00CA64CB"/>
    <w:rsid w:val="00CA6E4E"/>
    <w:rsid w:val="00CA7AA1"/>
    <w:rsid w:val="00CB2B28"/>
    <w:rsid w:val="00CC067B"/>
    <w:rsid w:val="00CC51FB"/>
    <w:rsid w:val="00CC602A"/>
    <w:rsid w:val="00CD18D2"/>
    <w:rsid w:val="00CD4081"/>
    <w:rsid w:val="00CD4CB0"/>
    <w:rsid w:val="00CD58FE"/>
    <w:rsid w:val="00CD6BE7"/>
    <w:rsid w:val="00CE2BEB"/>
    <w:rsid w:val="00CE2C93"/>
    <w:rsid w:val="00CE3023"/>
    <w:rsid w:val="00CE4868"/>
    <w:rsid w:val="00CF02B5"/>
    <w:rsid w:val="00CF1880"/>
    <w:rsid w:val="00D02E3D"/>
    <w:rsid w:val="00D1016A"/>
    <w:rsid w:val="00D1711E"/>
    <w:rsid w:val="00D23CAB"/>
    <w:rsid w:val="00D24A43"/>
    <w:rsid w:val="00D25992"/>
    <w:rsid w:val="00D42063"/>
    <w:rsid w:val="00D468C4"/>
    <w:rsid w:val="00D46C72"/>
    <w:rsid w:val="00D47360"/>
    <w:rsid w:val="00D475EB"/>
    <w:rsid w:val="00D477C6"/>
    <w:rsid w:val="00D5060A"/>
    <w:rsid w:val="00D554F2"/>
    <w:rsid w:val="00D56498"/>
    <w:rsid w:val="00D57AF6"/>
    <w:rsid w:val="00D6481F"/>
    <w:rsid w:val="00D72D37"/>
    <w:rsid w:val="00D73A18"/>
    <w:rsid w:val="00D75A15"/>
    <w:rsid w:val="00D8230F"/>
    <w:rsid w:val="00D8259C"/>
    <w:rsid w:val="00D86AC3"/>
    <w:rsid w:val="00D927F3"/>
    <w:rsid w:val="00D97D84"/>
    <w:rsid w:val="00DB3EC3"/>
    <w:rsid w:val="00DB690C"/>
    <w:rsid w:val="00DB7476"/>
    <w:rsid w:val="00DB78FA"/>
    <w:rsid w:val="00DB7AAE"/>
    <w:rsid w:val="00DC0032"/>
    <w:rsid w:val="00DC4F33"/>
    <w:rsid w:val="00DC5500"/>
    <w:rsid w:val="00DC6EA7"/>
    <w:rsid w:val="00DD0FB4"/>
    <w:rsid w:val="00DD47A4"/>
    <w:rsid w:val="00DD5B8B"/>
    <w:rsid w:val="00DD7D57"/>
    <w:rsid w:val="00DE021C"/>
    <w:rsid w:val="00DE12BC"/>
    <w:rsid w:val="00DE207F"/>
    <w:rsid w:val="00DE3F1C"/>
    <w:rsid w:val="00DE40A9"/>
    <w:rsid w:val="00DE40AE"/>
    <w:rsid w:val="00DF1954"/>
    <w:rsid w:val="00DF1CFC"/>
    <w:rsid w:val="00DF483B"/>
    <w:rsid w:val="00E04E2A"/>
    <w:rsid w:val="00E052E9"/>
    <w:rsid w:val="00E111D5"/>
    <w:rsid w:val="00E22BCF"/>
    <w:rsid w:val="00E25C45"/>
    <w:rsid w:val="00E26682"/>
    <w:rsid w:val="00E318D0"/>
    <w:rsid w:val="00E35BF5"/>
    <w:rsid w:val="00E46925"/>
    <w:rsid w:val="00E61DA5"/>
    <w:rsid w:val="00E62CAC"/>
    <w:rsid w:val="00E633A7"/>
    <w:rsid w:val="00E71629"/>
    <w:rsid w:val="00E737EE"/>
    <w:rsid w:val="00E77AA5"/>
    <w:rsid w:val="00E87073"/>
    <w:rsid w:val="00E90A2E"/>
    <w:rsid w:val="00E91098"/>
    <w:rsid w:val="00E96380"/>
    <w:rsid w:val="00E97E11"/>
    <w:rsid w:val="00EA3D1F"/>
    <w:rsid w:val="00EB0E79"/>
    <w:rsid w:val="00EC46CC"/>
    <w:rsid w:val="00ED079F"/>
    <w:rsid w:val="00ED3608"/>
    <w:rsid w:val="00ED564D"/>
    <w:rsid w:val="00EE3E8B"/>
    <w:rsid w:val="00EE46E8"/>
    <w:rsid w:val="00EE5779"/>
    <w:rsid w:val="00EF0CB8"/>
    <w:rsid w:val="00EF11FA"/>
    <w:rsid w:val="00EF37F4"/>
    <w:rsid w:val="00F0298E"/>
    <w:rsid w:val="00F0674B"/>
    <w:rsid w:val="00F10A8F"/>
    <w:rsid w:val="00F13AE2"/>
    <w:rsid w:val="00F14707"/>
    <w:rsid w:val="00F20130"/>
    <w:rsid w:val="00F32EC4"/>
    <w:rsid w:val="00F35386"/>
    <w:rsid w:val="00F35CE8"/>
    <w:rsid w:val="00F44368"/>
    <w:rsid w:val="00F469DA"/>
    <w:rsid w:val="00F47992"/>
    <w:rsid w:val="00F54F53"/>
    <w:rsid w:val="00F61979"/>
    <w:rsid w:val="00F70167"/>
    <w:rsid w:val="00F72BB6"/>
    <w:rsid w:val="00F77D7C"/>
    <w:rsid w:val="00F822C3"/>
    <w:rsid w:val="00F82D50"/>
    <w:rsid w:val="00F94637"/>
    <w:rsid w:val="00F97069"/>
    <w:rsid w:val="00FB1CE5"/>
    <w:rsid w:val="00FC3240"/>
    <w:rsid w:val="00FC61D0"/>
    <w:rsid w:val="00FD1503"/>
    <w:rsid w:val="00FD5932"/>
    <w:rsid w:val="00FD6980"/>
    <w:rsid w:val="00FE365C"/>
    <w:rsid w:val="00FE3680"/>
    <w:rsid w:val="00FE5DFB"/>
    <w:rsid w:val="3EBA7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widowControl/>
      <w:ind w:firstLine="420" w:firstLineChars="2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BA4415-0B9C-4875-8DE6-391B53B1806D}">
  <ds:schemaRefs/>
</ds:datastoreItem>
</file>

<file path=docProps/app.xml><?xml version="1.0" encoding="utf-8"?>
<Properties xmlns="http://schemas.openxmlformats.org/officeDocument/2006/extended-properties" xmlns:vt="http://schemas.openxmlformats.org/officeDocument/2006/docPropsVTypes">
  <Template>Normal</Template>
  <Pages>18</Pages>
  <Words>1214</Words>
  <Characters>6923</Characters>
  <Lines>57</Lines>
  <Paragraphs>16</Paragraphs>
  <TotalTime>7</TotalTime>
  <ScaleCrop>false</ScaleCrop>
  <LinksUpToDate>false</LinksUpToDate>
  <CharactersWithSpaces>8121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2021-09-03T11:24:00Z</dcterms:created>
  <dc:creator>郑国芋</dc:creator>
  <cp:lastModifiedBy>猫风不二</cp:lastModifiedBy>
  <cp:lastPrinted>2021-09-09T03:50:00Z</cp:lastPrinted>
  <dcterms:modified xsi:type="dcterms:W3CDTF">2021-09-23T06:54:19Z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6C271E16DFBF474FA8CD4E0B6DFEF2E0</vt:lpwstr>
  </property>
</Properties>
</file>